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charts/chart1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03FB3" w14:textId="3663EA6D" w:rsidR="001375D1" w:rsidRDefault="00514373" w:rsidP="002C1EC0">
      <w:pPr>
        <w:pStyle w:val="Nzev"/>
        <w:pBdr>
          <w:bottom w:val="single" w:sz="8" w:space="4" w:color="17365D"/>
        </w:pBdr>
        <w:rPr>
          <w:rFonts w:cs="Arial"/>
          <w:b/>
        </w:rPr>
      </w:pPr>
      <w:bookmarkStart w:id="0" w:name="_Hlk99553132"/>
      <w:r>
        <w:rPr>
          <w:noProof/>
        </w:rPr>
        <w:drawing>
          <wp:anchor distT="0" distB="0" distL="114300" distR="114300" simplePos="0" relativeHeight="251660288" behindDoc="0" locked="0" layoutInCell="1" allowOverlap="1" wp14:anchorId="0C5B301C" wp14:editId="6E45B2FF">
            <wp:simplePos x="0" y="0"/>
            <wp:positionH relativeFrom="margin">
              <wp:posOffset>-662940</wp:posOffset>
            </wp:positionH>
            <wp:positionV relativeFrom="margin">
              <wp:posOffset>-708660</wp:posOffset>
            </wp:positionV>
            <wp:extent cx="3028950" cy="901497"/>
            <wp:effectExtent l="0" t="0" r="0" b="0"/>
            <wp:wrapNone/>
            <wp:docPr id="1686699726" name="Obrázek 100" descr="Obsah obrázku text, logo, Písmo, symbol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699726" name="Obrázek 100" descr="Obsah obrázku text, logo, Písmo, symbol&#10;&#10;Obsah vygenerovaný umělou inteligencí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901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5D1">
        <w:rPr>
          <w:rFonts w:cs="Arial"/>
          <w:b/>
        </w:rPr>
        <w:t>P</w:t>
      </w:r>
      <w:r w:rsidR="003433ED">
        <w:rPr>
          <w:rFonts w:cs="Arial"/>
          <w:b/>
        </w:rPr>
        <w:t>odpora SHV v rámcových programech EU</w:t>
      </w:r>
    </w:p>
    <w:p w14:paraId="1E8F4A53" w14:textId="39140E3C" w:rsidR="009300EA" w:rsidRPr="00C03B45" w:rsidRDefault="003433ED" w:rsidP="002C1EC0">
      <w:pPr>
        <w:pStyle w:val="Nzev"/>
        <w:pBdr>
          <w:bottom w:val="single" w:sz="8" w:space="4" w:color="17365D"/>
        </w:pBdr>
        <w:rPr>
          <w:rFonts w:cs="Arial"/>
          <w:b/>
          <w:i/>
          <w:iCs/>
          <w:sz w:val="36"/>
          <w:szCs w:val="36"/>
        </w:rPr>
      </w:pPr>
      <w:r>
        <w:rPr>
          <w:rFonts w:cs="Arial"/>
          <w:b/>
        </w:rPr>
        <w:t>Horizont Evropa a FP10</w:t>
      </w:r>
      <w:r w:rsidR="00D01507" w:rsidRPr="00C03B45">
        <w:rPr>
          <w:rFonts w:cs="Arial"/>
          <w:b/>
        </w:rPr>
        <w:br/>
      </w:r>
    </w:p>
    <w:bookmarkEnd w:id="0"/>
    <w:p w14:paraId="7A230267" w14:textId="77777777" w:rsidR="009300EA" w:rsidRPr="00C03B45" w:rsidRDefault="009300EA" w:rsidP="000B4E4D">
      <w:pPr>
        <w:jc w:val="center"/>
        <w:rPr>
          <w:rFonts w:cs="Arial"/>
          <w:color w:val="FFFFFF"/>
          <w:lang w:eastAsia="cs-CZ"/>
        </w:rPr>
      </w:pPr>
    </w:p>
    <w:p w14:paraId="2C2028B9" w14:textId="77777777" w:rsidR="009300EA" w:rsidRPr="00C03B45" w:rsidRDefault="009300EA" w:rsidP="000B4E4D">
      <w:pPr>
        <w:jc w:val="center"/>
        <w:rPr>
          <w:rFonts w:cs="Arial"/>
          <w:color w:val="FFFFFF"/>
          <w:lang w:eastAsia="cs-CZ"/>
        </w:rPr>
      </w:pPr>
    </w:p>
    <w:p w14:paraId="68C70C0F" w14:textId="449D455A" w:rsidR="009300EA" w:rsidRPr="008C1C61" w:rsidRDefault="009300EA" w:rsidP="000B4E4D">
      <w:pPr>
        <w:jc w:val="center"/>
        <w:rPr>
          <w:rFonts w:cs="Arial"/>
          <w:color w:val="FFFFFF" w:themeColor="background1"/>
          <w:lang w:eastAsia="cs-CZ"/>
        </w:rPr>
      </w:pPr>
      <w:r w:rsidRPr="008C1C61">
        <w:rPr>
          <w:rFonts w:cs="Arial"/>
          <w:color w:val="FFFFFF" w:themeColor="background1"/>
          <w:lang w:eastAsia="cs-CZ"/>
        </w:rPr>
        <w:t>(verze ze dne:</w:t>
      </w:r>
      <w:r w:rsidRPr="008C1C61">
        <w:rPr>
          <w:rFonts w:cs="Arial"/>
          <w:b/>
          <w:color w:val="FFFFFF" w:themeColor="background1"/>
          <w:lang w:eastAsia="cs-CZ"/>
        </w:rPr>
        <w:t xml:space="preserve"> </w:t>
      </w:r>
      <w:r w:rsidRPr="008C1C61">
        <w:rPr>
          <w:rFonts w:cs="Arial"/>
          <w:b/>
          <w:color w:val="FFFFFF" w:themeColor="background1"/>
          <w:lang w:eastAsia="cs-CZ"/>
        </w:rPr>
        <w:fldChar w:fldCharType="begin"/>
      </w:r>
      <w:r w:rsidRPr="008C1C61">
        <w:rPr>
          <w:rFonts w:cs="Arial"/>
          <w:b/>
          <w:color w:val="FFFFFF" w:themeColor="background1"/>
          <w:lang w:eastAsia="cs-CZ"/>
        </w:rPr>
        <w:instrText xml:space="preserve"> DATE  \@ "d. MMMM yyyy"  \* MERGEFORMAT </w:instrText>
      </w:r>
      <w:r w:rsidRPr="008C1C61">
        <w:rPr>
          <w:rFonts w:cs="Arial"/>
          <w:b/>
          <w:color w:val="FFFFFF" w:themeColor="background1"/>
          <w:lang w:eastAsia="cs-CZ"/>
        </w:rPr>
        <w:fldChar w:fldCharType="separate"/>
      </w:r>
      <w:r w:rsidR="0068716F">
        <w:rPr>
          <w:rFonts w:cs="Arial"/>
          <w:b/>
          <w:noProof/>
          <w:color w:val="FFFFFF" w:themeColor="background1"/>
          <w:lang w:eastAsia="cs-CZ"/>
        </w:rPr>
        <w:t>7. listopadu 2025</w:t>
      </w:r>
      <w:r w:rsidRPr="008C1C61">
        <w:rPr>
          <w:rFonts w:cs="Arial"/>
          <w:b/>
          <w:color w:val="FFFFFF" w:themeColor="background1"/>
          <w:lang w:eastAsia="cs-CZ"/>
        </w:rPr>
        <w:fldChar w:fldCharType="end"/>
      </w:r>
    </w:p>
    <w:p w14:paraId="372686E6" w14:textId="221143B9" w:rsidR="009300EA" w:rsidRPr="00086360" w:rsidRDefault="00086360" w:rsidP="00086360">
      <w:pPr>
        <w:jc w:val="center"/>
        <w:rPr>
          <w:rFonts w:cs="Arial"/>
          <w:i/>
          <w:iCs/>
          <w:sz w:val="32"/>
          <w:szCs w:val="32"/>
          <w:lang w:eastAsia="cs-CZ"/>
        </w:rPr>
      </w:pPr>
      <w:r w:rsidRPr="00086360">
        <w:rPr>
          <w:rFonts w:cs="Arial"/>
          <w:i/>
          <w:iCs/>
          <w:sz w:val="32"/>
          <w:szCs w:val="32"/>
          <w:lang w:eastAsia="cs-CZ"/>
        </w:rPr>
        <w:t>Podklad pro jednání Pracovní skupiny SHV</w:t>
      </w:r>
    </w:p>
    <w:p w14:paraId="5C11EB29" w14:textId="77777777" w:rsidR="009300EA" w:rsidRPr="00C03B45" w:rsidRDefault="009300EA" w:rsidP="005F3205">
      <w:pPr>
        <w:rPr>
          <w:rFonts w:cs="Arial"/>
          <w:lang w:eastAsia="cs-CZ"/>
        </w:rPr>
      </w:pPr>
    </w:p>
    <w:p w14:paraId="36777A48" w14:textId="77777777" w:rsidR="009300EA" w:rsidRPr="00C03B45" w:rsidRDefault="009300EA" w:rsidP="005F3205">
      <w:pPr>
        <w:rPr>
          <w:rFonts w:cs="Arial"/>
          <w:lang w:eastAsia="cs-CZ"/>
        </w:rPr>
      </w:pPr>
    </w:p>
    <w:p w14:paraId="209AF5B3" w14:textId="77777777" w:rsidR="009300EA" w:rsidRPr="00C03B45" w:rsidRDefault="009300EA" w:rsidP="005F3205">
      <w:pPr>
        <w:rPr>
          <w:rFonts w:cs="Arial"/>
          <w:lang w:eastAsia="cs-CZ"/>
        </w:rPr>
      </w:pPr>
    </w:p>
    <w:p w14:paraId="73D089D3" w14:textId="77777777" w:rsidR="00C71082" w:rsidRPr="00C03B45" w:rsidRDefault="00C71082" w:rsidP="005F3205">
      <w:pPr>
        <w:rPr>
          <w:rFonts w:cs="Arial"/>
          <w:lang w:eastAsia="cs-CZ"/>
        </w:rPr>
      </w:pPr>
    </w:p>
    <w:p w14:paraId="22444D87" w14:textId="77777777" w:rsidR="00C71082" w:rsidRPr="00C03B45" w:rsidRDefault="00C71082" w:rsidP="005F3205">
      <w:pPr>
        <w:rPr>
          <w:rFonts w:cs="Arial"/>
          <w:lang w:eastAsia="cs-CZ"/>
        </w:rPr>
      </w:pPr>
    </w:p>
    <w:p w14:paraId="315F00D8" w14:textId="77777777" w:rsidR="00C71082" w:rsidRDefault="00C71082" w:rsidP="005F3205">
      <w:pPr>
        <w:rPr>
          <w:rFonts w:cs="Arial"/>
          <w:lang w:eastAsia="cs-CZ"/>
        </w:rPr>
      </w:pPr>
    </w:p>
    <w:p w14:paraId="62C9583A" w14:textId="77777777" w:rsidR="007A7464" w:rsidRPr="00C03B45" w:rsidRDefault="007A7464" w:rsidP="005F3205">
      <w:pPr>
        <w:rPr>
          <w:rFonts w:cs="Arial"/>
          <w:lang w:eastAsia="cs-CZ"/>
        </w:rPr>
      </w:pPr>
    </w:p>
    <w:p w14:paraId="24B03F47" w14:textId="77777777" w:rsidR="00C71082" w:rsidRPr="00C03B45" w:rsidRDefault="00C71082" w:rsidP="005F3205">
      <w:pPr>
        <w:rPr>
          <w:rFonts w:cs="Arial"/>
          <w:lang w:eastAsia="cs-CZ"/>
        </w:rPr>
      </w:pPr>
    </w:p>
    <w:p w14:paraId="1CC480B1" w14:textId="77777777" w:rsidR="007A7464" w:rsidRPr="00C03B45" w:rsidRDefault="007A7464" w:rsidP="005F3205">
      <w:pPr>
        <w:rPr>
          <w:rFonts w:cs="Arial"/>
          <w:lang w:eastAsia="cs-CZ"/>
        </w:rPr>
      </w:pPr>
    </w:p>
    <w:p w14:paraId="3C282512" w14:textId="69C336F3" w:rsidR="00514373" w:rsidRPr="00C03B45" w:rsidRDefault="00514373" w:rsidP="007A7464">
      <w:pPr>
        <w:jc w:val="both"/>
        <w:rPr>
          <w:rFonts w:cs="Arial"/>
          <w:b/>
          <w:lang w:eastAsia="cs-CZ"/>
        </w:rPr>
        <w:sectPr w:rsidR="00514373" w:rsidRPr="00C03B45" w:rsidSect="0051437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03B45">
        <w:rPr>
          <w:rFonts w:cs="Arial"/>
          <w:b/>
          <w:lang w:eastAsia="cs-CZ"/>
        </w:rPr>
        <w:t>Zpracova</w:t>
      </w:r>
      <w:r>
        <w:rPr>
          <w:rFonts w:cs="Arial"/>
          <w:b/>
          <w:lang w:eastAsia="cs-CZ"/>
        </w:rPr>
        <w:t>tel</w:t>
      </w:r>
      <w:r w:rsidRPr="00C03B45">
        <w:rPr>
          <w:rFonts w:cs="Arial"/>
          <w:b/>
          <w:lang w:eastAsia="cs-CZ"/>
        </w:rPr>
        <w:t xml:space="preserve">: </w:t>
      </w:r>
      <w:r>
        <w:rPr>
          <w:rFonts w:cs="Arial"/>
          <w:b/>
          <w:lang w:eastAsia="cs-CZ"/>
        </w:rPr>
        <w:t xml:space="preserve">Oddělení analýz, finančního řízení a koordinace výzkumu, vývoje a inovací, verze ze dne </w:t>
      </w:r>
      <w:r w:rsidR="00AE5AFD">
        <w:rPr>
          <w:rFonts w:cs="Arial"/>
          <w:b/>
          <w:lang w:eastAsia="cs-CZ"/>
        </w:rPr>
        <w:t>7</w:t>
      </w:r>
      <w:r>
        <w:rPr>
          <w:rFonts w:cs="Arial"/>
          <w:b/>
          <w:lang w:eastAsia="cs-CZ"/>
        </w:rPr>
        <w:t>. 1</w:t>
      </w:r>
      <w:r w:rsidR="003433ED">
        <w:rPr>
          <w:rFonts w:cs="Arial"/>
          <w:b/>
          <w:lang w:eastAsia="cs-CZ"/>
        </w:rPr>
        <w:t>1</w:t>
      </w:r>
      <w:r>
        <w:rPr>
          <w:rFonts w:cs="Arial"/>
          <w:b/>
          <w:lang w:eastAsia="cs-CZ"/>
        </w:rPr>
        <w:t>. 2025</w:t>
      </w:r>
    </w:p>
    <w:p w14:paraId="09723001" w14:textId="77777777" w:rsidR="009300EA" w:rsidRPr="00C03B45" w:rsidRDefault="009300EA" w:rsidP="008A08A5">
      <w:pPr>
        <w:pStyle w:val="Nadpisobsah"/>
      </w:pPr>
      <w:r w:rsidRPr="00C03B45">
        <w:lastRenderedPageBreak/>
        <w:t>Obsah</w:t>
      </w:r>
    </w:p>
    <w:p w14:paraId="3A70EE46" w14:textId="78FCCAEF" w:rsidR="0000283A" w:rsidRDefault="0044604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r>
        <w:rPr>
          <w:rFonts w:cs="Arial"/>
          <w:b w:val="0"/>
          <w:sz w:val="20"/>
        </w:rPr>
        <w:fldChar w:fldCharType="begin"/>
      </w:r>
      <w:r>
        <w:rPr>
          <w:rFonts w:cs="Arial"/>
          <w:b w:val="0"/>
          <w:sz w:val="20"/>
        </w:rPr>
        <w:instrText xml:space="preserve"> TOC \o "2-3" \h \z \t "Nadpis 1;1;Nadpis_1_bile;1" </w:instrText>
      </w:r>
      <w:r>
        <w:rPr>
          <w:rFonts w:cs="Arial"/>
          <w:b w:val="0"/>
          <w:sz w:val="20"/>
        </w:rPr>
        <w:fldChar w:fldCharType="separate"/>
      </w:r>
      <w:hyperlink w:anchor="_Toc213405195" w:history="1">
        <w:r w:rsidR="0000283A" w:rsidRPr="00B4269A">
          <w:rPr>
            <w:rStyle w:val="Hypertextovodkaz"/>
            <w:noProof/>
          </w:rPr>
          <w:t>Podpora SHV v rámcových programech EU</w:t>
        </w:r>
        <w:r w:rsidR="0000283A">
          <w:rPr>
            <w:noProof/>
            <w:webHidden/>
          </w:rPr>
          <w:tab/>
        </w:r>
        <w:r w:rsidR="0000283A">
          <w:rPr>
            <w:noProof/>
            <w:webHidden/>
          </w:rPr>
          <w:fldChar w:fldCharType="begin"/>
        </w:r>
        <w:r w:rsidR="0000283A">
          <w:rPr>
            <w:noProof/>
            <w:webHidden/>
          </w:rPr>
          <w:instrText xml:space="preserve"> PAGEREF _Toc213405195 \h </w:instrText>
        </w:r>
        <w:r w:rsidR="0000283A">
          <w:rPr>
            <w:noProof/>
            <w:webHidden/>
          </w:rPr>
        </w:r>
        <w:r w:rsidR="0000283A">
          <w:rPr>
            <w:noProof/>
            <w:webHidden/>
          </w:rPr>
          <w:fldChar w:fldCharType="separate"/>
        </w:r>
        <w:r w:rsidR="0000283A">
          <w:rPr>
            <w:noProof/>
            <w:webHidden/>
          </w:rPr>
          <w:t>3</w:t>
        </w:r>
        <w:r w:rsidR="0000283A">
          <w:rPr>
            <w:noProof/>
            <w:webHidden/>
          </w:rPr>
          <w:fldChar w:fldCharType="end"/>
        </w:r>
      </w:hyperlink>
    </w:p>
    <w:p w14:paraId="1971BAD7" w14:textId="11CDF576" w:rsidR="0000283A" w:rsidRDefault="0000283A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213405196" w:history="1">
        <w:r w:rsidRPr="00B4269A">
          <w:rPr>
            <w:rStyle w:val="Hypertextovodkaz"/>
            <w:noProof/>
          </w:rPr>
          <w:t>Zapojení SHV do rámcového programu Horizont Evropa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_Toc213405196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19818E" w14:textId="4C120F75" w:rsidR="0000283A" w:rsidRDefault="0000283A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213405197" w:history="1">
        <w:r w:rsidRPr="00B4269A">
          <w:rPr>
            <w:rStyle w:val="Hypertextovodkaz"/>
            <w:noProof/>
          </w:rPr>
          <w:t>Budoucí podpora SHV v rámcovém programu FP10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_Toc213405197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8BE7F2" w14:textId="3A042AB7" w:rsidR="0000283A" w:rsidRDefault="0000283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213405198" w:history="1">
        <w:r w:rsidRPr="00B4269A">
          <w:rPr>
            <w:rStyle w:val="Hypertextovodkaz"/>
            <w:noProof/>
          </w:rPr>
          <w:t>Specifika oborové evidence Horizon Dashboard a eCORDA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_Toc213405198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E4E1410" w14:textId="6A11FBB3" w:rsidR="0000283A" w:rsidRDefault="0000283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213405199" w:history="1">
        <w:r w:rsidRPr="00B4269A">
          <w:rPr>
            <w:rStyle w:val="Hypertextovodkaz"/>
            <w:noProof/>
          </w:rPr>
          <w:t>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_Toc213405199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5AEE164" w14:textId="1464B243" w:rsidR="009300EA" w:rsidRPr="00C03B45" w:rsidRDefault="00446046" w:rsidP="00685CAC">
      <w:pPr>
        <w:ind w:left="567"/>
        <w:rPr>
          <w:rFonts w:cs="Arial"/>
          <w:color w:val="FFFFFF"/>
        </w:rPr>
      </w:pPr>
      <w:r>
        <w:rPr>
          <w:rFonts w:eastAsia="Times New Roman" w:cs="Arial"/>
          <w:b/>
          <w:sz w:val="20"/>
          <w:lang w:eastAsia="cs-CZ"/>
        </w:rPr>
        <w:fldChar w:fldCharType="end"/>
      </w:r>
      <w:r w:rsidR="009300EA" w:rsidRPr="00C03B45">
        <w:rPr>
          <w:rFonts w:cs="Arial"/>
          <w:color w:val="FFFFFF"/>
        </w:rPr>
        <w:t>Verze ze dne 8. června 2021</w:t>
      </w:r>
    </w:p>
    <w:p w14:paraId="61099078" w14:textId="77777777" w:rsidR="009300EA" w:rsidRPr="00C03B45" w:rsidRDefault="009300EA" w:rsidP="003A1F12">
      <w:pPr>
        <w:rPr>
          <w:rFonts w:cs="Arial"/>
        </w:rPr>
      </w:pPr>
    </w:p>
    <w:p w14:paraId="46F82EF3" w14:textId="77777777" w:rsidR="009300EA" w:rsidRPr="00C03B45" w:rsidRDefault="009300EA" w:rsidP="003A1F12">
      <w:pPr>
        <w:rPr>
          <w:rFonts w:cs="Arial"/>
        </w:rPr>
        <w:sectPr w:rsidR="009300EA" w:rsidRPr="00C03B45" w:rsidSect="005F3205"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BB30F9" w14:textId="4179CADF" w:rsidR="00E9767C" w:rsidRDefault="003433ED" w:rsidP="008A08A5">
      <w:pPr>
        <w:pStyle w:val="Nadpis1"/>
      </w:pPr>
      <w:bookmarkStart w:id="1" w:name="_Toc213405195"/>
      <w:r>
        <w:lastRenderedPageBreak/>
        <w:t>Podpora SHV v</w:t>
      </w:r>
      <w:r w:rsidR="00173F03">
        <w:t> </w:t>
      </w:r>
      <w:r>
        <w:t>rámcov</w:t>
      </w:r>
      <w:r w:rsidR="00173F03">
        <w:t>ých programech EU</w:t>
      </w:r>
      <w:bookmarkEnd w:id="1"/>
    </w:p>
    <w:p w14:paraId="5CF94D65" w14:textId="77910041" w:rsidR="006609B9" w:rsidRDefault="004C5C26" w:rsidP="004C5C26">
      <w:pPr>
        <w:jc w:val="both"/>
      </w:pPr>
      <w:r w:rsidRPr="00AF3EC0">
        <w:t>S</w:t>
      </w:r>
      <w:r w:rsidR="00216263">
        <w:t>polečenské</w:t>
      </w:r>
      <w:r w:rsidRPr="00AF3EC0">
        <w:t xml:space="preserve"> a humanitní vědy (SHV)</w:t>
      </w:r>
      <w:r w:rsidR="006609B9">
        <w:t xml:space="preserve"> představují rostoucí prvek interdisciplinárního evropského výzkumu, vývoje a inovací (</w:t>
      </w:r>
      <w:proofErr w:type="spellStart"/>
      <w:r w:rsidR="006609B9">
        <w:t>VaVaI</w:t>
      </w:r>
      <w:proofErr w:type="spellEnd"/>
      <w:r w:rsidR="006609B9">
        <w:t>). Jejich zapojení není okrajové, ale strukturální s mimořádným potenciálem pro spolupráci s ostatními obory</w:t>
      </w:r>
      <w:r w:rsidR="00864A0E">
        <w:t>, zejména obory STE</w:t>
      </w:r>
      <w:r w:rsidR="006D1AB8">
        <w:t>M.</w:t>
      </w:r>
    </w:p>
    <w:p w14:paraId="5E7A6651" w14:textId="147ACB73" w:rsidR="006609B9" w:rsidRPr="00C4332F" w:rsidRDefault="009A3C80" w:rsidP="004C5C26">
      <w:pPr>
        <w:jc w:val="both"/>
      </w:pPr>
      <w:r>
        <w:t>V </w:t>
      </w:r>
      <w:r w:rsidRPr="00C4332F">
        <w:rPr>
          <w:b/>
          <w:bCs/>
        </w:rPr>
        <w:t>7. rámcovém programu</w:t>
      </w:r>
      <w:r>
        <w:t xml:space="preserve"> (2007–2013) existovalo samostatné téma sociálně-ekonomické a humanitní vědy. Rámcový program </w:t>
      </w:r>
      <w:r w:rsidRPr="00C4332F">
        <w:rPr>
          <w:b/>
          <w:bCs/>
        </w:rPr>
        <w:t>H2020</w:t>
      </w:r>
      <w:r>
        <w:t xml:space="preserve"> (2014–2020)</w:t>
      </w:r>
      <w:r w:rsidR="00EA1F6D">
        <w:t xml:space="preserve"> zahrnoval SHV do dílčích výzev pilíře Společenské výzvy. V současném rámcovém programu </w:t>
      </w:r>
      <w:r w:rsidR="00EA1F6D" w:rsidRPr="00C4332F">
        <w:rPr>
          <w:b/>
          <w:bCs/>
        </w:rPr>
        <w:t>Horizont Evropa</w:t>
      </w:r>
      <w:r w:rsidR="00EA1F6D">
        <w:t xml:space="preserve"> (2021–2027) jsou SHV zastoupeny ve II. pilíři </w:t>
      </w:r>
      <w:r w:rsidR="00EA1F6D" w:rsidRPr="00EA1F6D">
        <w:t>Globální výzvy a konkurenceschopnost evropského průmyslu</w:t>
      </w:r>
      <w:r w:rsidR="00EA1F6D">
        <w:t xml:space="preserve">, a to </w:t>
      </w:r>
      <w:r w:rsidR="00EA1F6D" w:rsidRPr="00C4332F">
        <w:rPr>
          <w:b/>
          <w:bCs/>
        </w:rPr>
        <w:t>samostatně</w:t>
      </w:r>
      <w:r w:rsidR="00EA1F6D">
        <w:t xml:space="preserve"> v klastru 2 – Kultura, kreativita a inkluzivní společnost a dále </w:t>
      </w:r>
      <w:r w:rsidR="00EA1F6D" w:rsidRPr="00C4332F">
        <w:rPr>
          <w:b/>
          <w:bCs/>
        </w:rPr>
        <w:t>průřezově</w:t>
      </w:r>
      <w:r w:rsidR="00EA1F6D">
        <w:t xml:space="preserve"> ve všech klastrech. Budoucí rámcový program </w:t>
      </w:r>
      <w:r w:rsidR="00EA1F6D" w:rsidRPr="00A504DB">
        <w:rPr>
          <w:b/>
          <w:bCs/>
        </w:rPr>
        <w:t>FP10</w:t>
      </w:r>
      <w:r w:rsidR="00EA1F6D">
        <w:t xml:space="preserve"> (2028–2035) počítá s</w:t>
      </w:r>
      <w:r w:rsidR="006609B9">
        <w:t xml:space="preserve"> dalším posílením této integrace, neboť právě na průsečíku disciplín vznikají </w:t>
      </w:r>
      <w:r w:rsidR="00DB567B">
        <w:t>výsledky</w:t>
      </w:r>
      <w:r w:rsidR="006609B9">
        <w:t xml:space="preserve"> s největším společenským </w:t>
      </w:r>
      <w:r w:rsidR="006D1AB8">
        <w:t xml:space="preserve">a ekonomickým </w:t>
      </w:r>
      <w:r w:rsidR="006609B9">
        <w:t>dopadem.</w:t>
      </w:r>
    </w:p>
    <w:p w14:paraId="08803395" w14:textId="4DE53190" w:rsidR="00E9767C" w:rsidRPr="00C03B45" w:rsidRDefault="00817387" w:rsidP="00E9767C">
      <w:pPr>
        <w:pStyle w:val="Nadpisbezstranky"/>
        <w:rPr>
          <w:sz w:val="28"/>
          <w:szCs w:val="28"/>
        </w:rPr>
      </w:pPr>
      <w:bookmarkStart w:id="2" w:name="_Toc213405196"/>
      <w:r>
        <w:rPr>
          <w:sz w:val="28"/>
          <w:szCs w:val="28"/>
        </w:rPr>
        <w:t>Zapojení SHV do rámcového programu Horizont Evropa</w:t>
      </w:r>
      <w:bookmarkEnd w:id="2"/>
    </w:p>
    <w:p w14:paraId="4FE0604E" w14:textId="4769917C" w:rsidR="009A3C80" w:rsidRDefault="009A3C80" w:rsidP="009A3C80">
      <w:pPr>
        <w:jc w:val="both"/>
      </w:pPr>
      <w:r w:rsidRPr="00817387">
        <w:t>S</w:t>
      </w:r>
      <w:r w:rsidR="0068716F">
        <w:t>HV</w:t>
      </w:r>
      <w:r w:rsidRPr="00817387">
        <w:t xml:space="preserve"> jsou </w:t>
      </w:r>
      <w:r>
        <w:t xml:space="preserve">zmíněny již </w:t>
      </w:r>
      <w:r w:rsidRPr="00817387">
        <w:t>v</w:t>
      </w:r>
      <w:r>
        <w:t> </w:t>
      </w:r>
      <w:r w:rsidRPr="00817387">
        <w:t xml:space="preserve">preambuli </w:t>
      </w:r>
      <w:r w:rsidR="005E7539">
        <w:t xml:space="preserve">právního základu </w:t>
      </w:r>
      <w:r w:rsidR="00BC35C3">
        <w:t xml:space="preserve">Horizontu Evropa, </w:t>
      </w:r>
      <w:r w:rsidR="00B01248">
        <w:t xml:space="preserve">v </w:t>
      </w:r>
      <w:r w:rsidRPr="00200BC5">
        <w:t>nařízení Evropského parlamentu a Rady EU 2021/695 ze dne 28.</w:t>
      </w:r>
      <w:r>
        <w:t> </w:t>
      </w:r>
      <w:r w:rsidRPr="00200BC5">
        <w:t>dubna 2021</w:t>
      </w:r>
      <w:r>
        <w:t xml:space="preserve">: </w:t>
      </w:r>
      <w:r w:rsidRPr="00200BC5">
        <w:t xml:space="preserve"> </w:t>
      </w:r>
    </w:p>
    <w:p w14:paraId="6DDB6E25" w14:textId="77777777" w:rsidR="009A3C80" w:rsidRPr="00200BC5" w:rsidRDefault="009A3C80" w:rsidP="009A3C80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(14) </w:t>
      </w:r>
      <w:r w:rsidRPr="00200BC5">
        <w:rPr>
          <w:b/>
          <w:bCs/>
          <w:i/>
          <w:iCs/>
          <w:sz w:val="20"/>
          <w:szCs w:val="20"/>
        </w:rPr>
        <w:t>Program by měl podporovat výzkumné a inovační činnosti v oblasti společenských a</w:t>
      </w:r>
      <w:r>
        <w:rPr>
          <w:b/>
          <w:bCs/>
          <w:i/>
          <w:iCs/>
          <w:sz w:val="20"/>
          <w:szCs w:val="20"/>
        </w:rPr>
        <w:t> </w:t>
      </w:r>
      <w:r w:rsidRPr="00200BC5">
        <w:rPr>
          <w:b/>
          <w:bCs/>
          <w:i/>
          <w:iCs/>
          <w:sz w:val="20"/>
          <w:szCs w:val="20"/>
        </w:rPr>
        <w:t>humanitních věd</w:t>
      </w:r>
      <w:r w:rsidRPr="00200BC5">
        <w:rPr>
          <w:i/>
          <w:iCs/>
          <w:sz w:val="20"/>
          <w:szCs w:val="20"/>
        </w:rPr>
        <w:t xml:space="preserve">. To znamená podporovat v této oblasti nejen prohlubování vědeckých poznatků, ale také využívání těchto poznatků a příslušného pokroku k většímu ekonomickému a </w:t>
      </w:r>
      <w:r w:rsidRPr="00200BC5">
        <w:rPr>
          <w:b/>
          <w:bCs/>
          <w:i/>
          <w:iCs/>
          <w:sz w:val="20"/>
          <w:szCs w:val="20"/>
        </w:rPr>
        <w:t>společenskému dopadu</w:t>
      </w:r>
      <w:r w:rsidRPr="00200BC5">
        <w:rPr>
          <w:i/>
          <w:iCs/>
          <w:sz w:val="20"/>
          <w:szCs w:val="20"/>
        </w:rPr>
        <w:t xml:space="preserve"> programu. </w:t>
      </w:r>
      <w:r w:rsidRPr="00200BC5">
        <w:rPr>
          <w:b/>
          <w:bCs/>
          <w:i/>
          <w:iCs/>
          <w:sz w:val="20"/>
          <w:szCs w:val="20"/>
        </w:rPr>
        <w:t>V rámci pilíře „Globální výzvy a konkurenceschopnost evropského průmyslu“ by měly být</w:t>
      </w:r>
      <w:r w:rsidRPr="00200BC5">
        <w:rPr>
          <w:i/>
          <w:iCs/>
          <w:sz w:val="20"/>
          <w:szCs w:val="20"/>
        </w:rPr>
        <w:t xml:space="preserve"> </w:t>
      </w:r>
      <w:r w:rsidRPr="00200BC5">
        <w:rPr>
          <w:b/>
          <w:bCs/>
          <w:i/>
          <w:iCs/>
          <w:sz w:val="20"/>
          <w:szCs w:val="20"/>
        </w:rPr>
        <w:t>společenské a humanitní vědy plně zapojeny do všech klastrů</w:t>
      </w:r>
      <w:r w:rsidRPr="00200BC5">
        <w:rPr>
          <w:i/>
          <w:iCs/>
          <w:sz w:val="20"/>
          <w:szCs w:val="20"/>
        </w:rPr>
        <w:t xml:space="preserve">. Vedle prosazování společenských a humanitních věd v projektech by ve vhodných případech měla být podporována také </w:t>
      </w:r>
      <w:r w:rsidRPr="00BC35C3">
        <w:rPr>
          <w:b/>
          <w:bCs/>
          <w:i/>
          <w:iCs/>
          <w:sz w:val="20"/>
          <w:szCs w:val="20"/>
        </w:rPr>
        <w:t>integrace společenských a humanitních věd</w:t>
      </w:r>
      <w:r w:rsidRPr="00200BC5">
        <w:rPr>
          <w:i/>
          <w:iCs/>
          <w:sz w:val="20"/>
          <w:szCs w:val="20"/>
        </w:rPr>
        <w:t xml:space="preserve"> zastoupením nezávislých externích odborníků z těchto oborů v expertních výborech a v hodnotících panelech a včasným monitorováním společenských a</w:t>
      </w:r>
      <w:r>
        <w:rPr>
          <w:i/>
          <w:iCs/>
          <w:sz w:val="20"/>
          <w:szCs w:val="20"/>
        </w:rPr>
        <w:t> </w:t>
      </w:r>
      <w:r w:rsidRPr="00200BC5">
        <w:rPr>
          <w:i/>
          <w:iCs/>
          <w:sz w:val="20"/>
          <w:szCs w:val="20"/>
        </w:rPr>
        <w:t xml:space="preserve">humanitních věd a informováním o jejich zastoupení ve financovaných výzkumných akcích. </w:t>
      </w:r>
      <w:r w:rsidRPr="00BC35C3">
        <w:rPr>
          <w:b/>
          <w:bCs/>
          <w:i/>
          <w:iCs/>
          <w:sz w:val="20"/>
          <w:szCs w:val="20"/>
        </w:rPr>
        <w:t>Monitorování napříč programem by se mělo zaměřit na zapojování společenských a humanitních věd</w:t>
      </w:r>
      <w:r w:rsidRPr="00200BC5">
        <w:rPr>
          <w:i/>
          <w:iCs/>
          <w:sz w:val="20"/>
          <w:szCs w:val="20"/>
        </w:rPr>
        <w:t>.</w:t>
      </w:r>
    </w:p>
    <w:p w14:paraId="5A129D55" w14:textId="4975F515" w:rsidR="009A3C80" w:rsidRPr="00E62B3E" w:rsidRDefault="00C4332F" w:rsidP="00E9767C">
      <w:pPr>
        <w:spacing w:after="120" w:line="360" w:lineRule="auto"/>
        <w:jc w:val="both"/>
        <w:rPr>
          <w:rFonts w:cs="Arial"/>
          <w:lang w:eastAsia="cs-CZ"/>
        </w:rPr>
      </w:pPr>
      <w:r w:rsidRPr="00E62B3E">
        <w:rPr>
          <w:rFonts w:cs="Arial"/>
          <w:lang w:eastAsia="cs-CZ"/>
        </w:rPr>
        <w:t xml:space="preserve">V Článku 4 </w:t>
      </w:r>
      <w:r w:rsidR="008A08A5">
        <w:rPr>
          <w:rFonts w:cs="Arial"/>
          <w:lang w:eastAsia="cs-CZ"/>
        </w:rPr>
        <w:t>na</w:t>
      </w:r>
      <w:r w:rsidR="0068716F">
        <w:rPr>
          <w:rFonts w:cs="Arial"/>
          <w:lang w:eastAsia="cs-CZ"/>
        </w:rPr>
        <w:t>ř</w:t>
      </w:r>
      <w:r w:rsidR="008A08A5">
        <w:rPr>
          <w:rFonts w:cs="Arial"/>
          <w:lang w:eastAsia="cs-CZ"/>
        </w:rPr>
        <w:t xml:space="preserve">ízení </w:t>
      </w:r>
      <w:r w:rsidRPr="00E62B3E">
        <w:rPr>
          <w:rFonts w:cs="Arial"/>
          <w:lang w:eastAsia="cs-CZ"/>
        </w:rPr>
        <w:t>Struktura programu je pak v odst. 1 písm. b) zdůrazněno, že:</w:t>
      </w:r>
    </w:p>
    <w:p w14:paraId="2B67B45A" w14:textId="677E2E69" w:rsidR="00C4332F" w:rsidRPr="00C4332F" w:rsidRDefault="00C4332F" w:rsidP="00C4332F">
      <w:pPr>
        <w:spacing w:after="120"/>
        <w:contextualSpacing/>
        <w:jc w:val="both"/>
        <w:rPr>
          <w:rFonts w:cs="Arial"/>
          <w:i/>
          <w:iCs/>
          <w:sz w:val="20"/>
          <w:szCs w:val="20"/>
          <w:lang w:eastAsia="cs-CZ"/>
        </w:rPr>
      </w:pPr>
      <w:r w:rsidRPr="00C4332F">
        <w:rPr>
          <w:rFonts w:cs="Arial"/>
          <w:i/>
          <w:iCs/>
          <w:sz w:val="20"/>
          <w:szCs w:val="20"/>
          <w:lang w:eastAsia="cs-CZ"/>
        </w:rPr>
        <w:t xml:space="preserve">Pilíř II „Globální výzvy a konkurenceschopnost evropského průmyslu“ obsahující tyto složky, přičemž se zohlední to, že </w:t>
      </w:r>
      <w:r w:rsidRPr="00C4332F">
        <w:rPr>
          <w:rFonts w:cs="Arial"/>
          <w:b/>
          <w:bCs/>
          <w:i/>
          <w:iCs/>
          <w:sz w:val="20"/>
          <w:szCs w:val="20"/>
          <w:lang w:eastAsia="cs-CZ"/>
        </w:rPr>
        <w:t>společenské vědy a humanitní obory hrají důležitou roli v zakázkách pro</w:t>
      </w:r>
      <w:r w:rsidR="00E62B3E">
        <w:rPr>
          <w:rFonts w:cs="Arial"/>
          <w:b/>
          <w:bCs/>
          <w:i/>
          <w:iCs/>
          <w:sz w:val="20"/>
          <w:szCs w:val="20"/>
          <w:lang w:eastAsia="cs-CZ"/>
        </w:rPr>
        <w:t> </w:t>
      </w:r>
      <w:r w:rsidRPr="00C4332F">
        <w:rPr>
          <w:rFonts w:cs="Arial"/>
          <w:b/>
          <w:bCs/>
          <w:i/>
          <w:iCs/>
          <w:sz w:val="20"/>
          <w:szCs w:val="20"/>
          <w:lang w:eastAsia="cs-CZ"/>
        </w:rPr>
        <w:t>všechny klastry</w:t>
      </w:r>
      <w:r w:rsidRPr="00C4332F">
        <w:rPr>
          <w:rFonts w:cs="Arial"/>
          <w:i/>
          <w:iCs/>
          <w:sz w:val="20"/>
          <w:szCs w:val="20"/>
          <w:lang w:eastAsia="cs-CZ"/>
        </w:rPr>
        <w:t xml:space="preserve">: </w:t>
      </w:r>
    </w:p>
    <w:p w14:paraId="3B9C220E" w14:textId="6C1637CD" w:rsidR="00C4332F" w:rsidRPr="00C4332F" w:rsidRDefault="00C4332F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4332F">
        <w:rPr>
          <w:rFonts w:ascii="Arial" w:hAnsi="Arial" w:cs="Arial"/>
          <w:i/>
          <w:iCs/>
          <w:sz w:val="20"/>
          <w:szCs w:val="20"/>
          <w:lang w:eastAsia="cs-CZ"/>
        </w:rPr>
        <w:t>klastr „Zdraví“;</w:t>
      </w:r>
    </w:p>
    <w:p w14:paraId="54B24A5C" w14:textId="77777777" w:rsidR="00C4332F" w:rsidRPr="00C4332F" w:rsidRDefault="00C4332F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4332F">
        <w:rPr>
          <w:rFonts w:ascii="Arial" w:hAnsi="Arial" w:cs="Arial"/>
          <w:b/>
          <w:bCs/>
          <w:i/>
          <w:iCs/>
          <w:sz w:val="20"/>
          <w:szCs w:val="20"/>
          <w:lang w:eastAsia="cs-CZ"/>
        </w:rPr>
        <w:t>klastr „Kultura, kreativita a inkluzivní společnost“</w:t>
      </w:r>
      <w:r w:rsidRPr="00C4332F">
        <w:rPr>
          <w:rFonts w:ascii="Arial" w:hAnsi="Arial" w:cs="Arial"/>
          <w:i/>
          <w:iCs/>
          <w:sz w:val="20"/>
          <w:szCs w:val="20"/>
          <w:lang w:eastAsia="cs-CZ"/>
        </w:rPr>
        <w:t xml:space="preserve">; </w:t>
      </w:r>
    </w:p>
    <w:p w14:paraId="0E726339" w14:textId="77777777" w:rsidR="00C4332F" w:rsidRPr="00C4332F" w:rsidRDefault="00C4332F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4332F">
        <w:rPr>
          <w:rFonts w:ascii="Arial" w:hAnsi="Arial" w:cs="Arial"/>
          <w:i/>
          <w:iCs/>
          <w:sz w:val="20"/>
          <w:szCs w:val="20"/>
          <w:lang w:eastAsia="cs-CZ"/>
        </w:rPr>
        <w:t xml:space="preserve">klastr „Civilní bezpečnost pro společnost“; </w:t>
      </w:r>
    </w:p>
    <w:p w14:paraId="013D81E4" w14:textId="77777777" w:rsidR="00C4332F" w:rsidRPr="00C4332F" w:rsidRDefault="00C4332F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4332F">
        <w:rPr>
          <w:rFonts w:ascii="Arial" w:hAnsi="Arial" w:cs="Arial"/>
          <w:i/>
          <w:iCs/>
          <w:sz w:val="20"/>
          <w:szCs w:val="20"/>
          <w:lang w:eastAsia="cs-CZ"/>
        </w:rPr>
        <w:t xml:space="preserve">klastr „Digitální oblast, průmysl a vesmír“; </w:t>
      </w:r>
    </w:p>
    <w:p w14:paraId="5D076123" w14:textId="77777777" w:rsidR="00C4332F" w:rsidRPr="00C4332F" w:rsidRDefault="00C4332F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4332F">
        <w:rPr>
          <w:rFonts w:ascii="Arial" w:hAnsi="Arial" w:cs="Arial"/>
          <w:i/>
          <w:iCs/>
          <w:sz w:val="20"/>
          <w:szCs w:val="20"/>
          <w:lang w:eastAsia="cs-CZ"/>
        </w:rPr>
        <w:t xml:space="preserve">klastr „Klima, energetika a mobilita“; </w:t>
      </w:r>
    </w:p>
    <w:p w14:paraId="2C2C5552" w14:textId="77777777" w:rsidR="00C4332F" w:rsidRPr="00C4332F" w:rsidRDefault="00C4332F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4332F">
        <w:rPr>
          <w:rFonts w:ascii="Arial" w:hAnsi="Arial" w:cs="Arial"/>
          <w:i/>
          <w:iCs/>
          <w:sz w:val="20"/>
          <w:szCs w:val="20"/>
          <w:lang w:eastAsia="cs-CZ"/>
        </w:rPr>
        <w:t xml:space="preserve">klastr „Potraviny, biohospodářství, přírodní zdroje, zemědělství a životní prostředí“; </w:t>
      </w:r>
    </w:p>
    <w:p w14:paraId="3E784815" w14:textId="57673832" w:rsidR="00C4332F" w:rsidRPr="00C4332F" w:rsidRDefault="00201F84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>
        <w:rPr>
          <w:rFonts w:ascii="Arial" w:hAnsi="Arial" w:cs="Arial"/>
          <w:i/>
          <w:iCs/>
          <w:sz w:val="20"/>
          <w:szCs w:val="20"/>
          <w:lang w:eastAsia="cs-CZ"/>
        </w:rPr>
        <w:t>(</w:t>
      </w:r>
      <w:r w:rsidR="00C4332F" w:rsidRPr="00C4332F">
        <w:rPr>
          <w:rFonts w:ascii="Arial" w:hAnsi="Arial" w:cs="Arial"/>
          <w:i/>
          <w:iCs/>
          <w:sz w:val="20"/>
          <w:szCs w:val="20"/>
          <w:lang w:eastAsia="cs-CZ"/>
        </w:rPr>
        <w:t>nejaderné přímé akce JRC</w:t>
      </w:r>
      <w:r>
        <w:rPr>
          <w:rFonts w:ascii="Arial" w:hAnsi="Arial" w:cs="Arial"/>
          <w:i/>
          <w:iCs/>
          <w:sz w:val="20"/>
          <w:szCs w:val="20"/>
          <w:lang w:eastAsia="cs-CZ"/>
        </w:rPr>
        <w:t>)</w:t>
      </w:r>
      <w:r w:rsidR="00C4332F" w:rsidRPr="00C4332F">
        <w:rPr>
          <w:rFonts w:ascii="Arial" w:hAnsi="Arial" w:cs="Arial"/>
          <w:i/>
          <w:iCs/>
          <w:sz w:val="20"/>
          <w:szCs w:val="20"/>
          <w:lang w:eastAsia="cs-CZ"/>
        </w:rPr>
        <w:t>.</w:t>
      </w:r>
    </w:p>
    <w:p w14:paraId="6ADE85A3" w14:textId="4289032E" w:rsidR="00E62B3E" w:rsidRDefault="00E62B3E" w:rsidP="00C4332F">
      <w:pPr>
        <w:spacing w:after="120"/>
        <w:jc w:val="both"/>
      </w:pPr>
      <w:r>
        <w:t>V pořadí druhou zásadou programu je v Článku 7</w:t>
      </w:r>
      <w:r w:rsidR="008A08A5">
        <w:t xml:space="preserve"> nařízení</w:t>
      </w:r>
      <w:r>
        <w:t xml:space="preserve"> příslib, že p</w:t>
      </w:r>
      <w:r w:rsidRPr="00E62B3E">
        <w:t xml:space="preserve">rogram zajistí </w:t>
      </w:r>
      <w:r w:rsidRPr="00E62B3E">
        <w:rPr>
          <w:b/>
          <w:bCs/>
        </w:rPr>
        <w:t>víceoborový přístup</w:t>
      </w:r>
      <w:r w:rsidRPr="00E62B3E">
        <w:t xml:space="preserve"> a v příslušných případech rovněž </w:t>
      </w:r>
      <w:r w:rsidRPr="00E62B3E">
        <w:rPr>
          <w:b/>
          <w:bCs/>
        </w:rPr>
        <w:t xml:space="preserve">začlenění </w:t>
      </w:r>
      <w:r w:rsidR="0068716F">
        <w:rPr>
          <w:b/>
          <w:bCs/>
        </w:rPr>
        <w:t>SHV</w:t>
      </w:r>
      <w:r w:rsidRPr="00E62B3E">
        <w:t xml:space="preserve"> </w:t>
      </w:r>
      <w:r w:rsidRPr="00E62B3E">
        <w:rPr>
          <w:b/>
          <w:bCs/>
        </w:rPr>
        <w:t>do všech klastrů a</w:t>
      </w:r>
      <w:r w:rsidR="0068716F">
        <w:rPr>
          <w:b/>
          <w:bCs/>
        </w:rPr>
        <w:t> </w:t>
      </w:r>
      <w:r w:rsidRPr="00E62B3E">
        <w:rPr>
          <w:b/>
          <w:bCs/>
        </w:rPr>
        <w:t>činností</w:t>
      </w:r>
      <w:r w:rsidRPr="00E62B3E">
        <w:t xml:space="preserve"> v rámci programu, včetně zvláštních výzev k podávání návrhů týkajících se společenských a humanitních témat.</w:t>
      </w:r>
    </w:p>
    <w:p w14:paraId="63803B69" w14:textId="6C3F0DB1" w:rsidR="00DC4723" w:rsidRDefault="00DF7109" w:rsidP="00C4332F">
      <w:pPr>
        <w:spacing w:after="120"/>
        <w:jc w:val="both"/>
      </w:pPr>
      <w:r>
        <w:t xml:space="preserve">Zapojení </w:t>
      </w:r>
      <w:r w:rsidR="00BE6CAB">
        <w:t>SHV</w:t>
      </w:r>
      <w:r>
        <w:t xml:space="preserve"> </w:t>
      </w:r>
      <w:r w:rsidR="00BE6CAB">
        <w:t xml:space="preserve">do rámcového programu Horizont Evropa </w:t>
      </w:r>
      <w:r>
        <w:t xml:space="preserve">lze </w:t>
      </w:r>
      <w:r w:rsidR="00BE6CAB">
        <w:t xml:space="preserve">měřit s využitím </w:t>
      </w:r>
      <w:r w:rsidR="004C5C26">
        <w:t xml:space="preserve">vícero </w:t>
      </w:r>
      <w:r w:rsidR="00BE6CAB">
        <w:t>databáz</w:t>
      </w:r>
      <w:r w:rsidR="007B4301">
        <w:t>í</w:t>
      </w:r>
      <w:r w:rsidR="004C5C26">
        <w:t>.</w:t>
      </w:r>
      <w:r w:rsidR="00BE6CAB">
        <w:t xml:space="preserve"> Tyto databáze </w:t>
      </w:r>
      <w:r w:rsidR="008C6027">
        <w:t xml:space="preserve">však </w:t>
      </w:r>
      <w:r w:rsidR="00BE6CAB">
        <w:t xml:space="preserve">mají svá omezení </w:t>
      </w:r>
      <w:r w:rsidR="007B4301">
        <w:t>popsan</w:t>
      </w:r>
      <w:r w:rsidR="00510CBD">
        <w:t>á</w:t>
      </w:r>
      <w:r w:rsidR="007B4301">
        <w:t xml:space="preserve"> v</w:t>
      </w:r>
      <w:r w:rsidR="00BE6CAB">
        <w:t xml:space="preserve"> kapitol</w:t>
      </w:r>
      <w:r w:rsidR="007B4301">
        <w:t>e</w:t>
      </w:r>
      <w:r w:rsidR="00BE6CAB">
        <w:t xml:space="preserve"> </w:t>
      </w:r>
      <w:r w:rsidR="008A08A5">
        <w:t>S</w:t>
      </w:r>
      <w:r w:rsidR="00BE6CAB">
        <w:t>pecifika oborové evidence</w:t>
      </w:r>
      <w:r w:rsidR="00BE6CAB" w:rsidRPr="00BE6CAB">
        <w:t xml:space="preserve"> </w:t>
      </w:r>
      <w:r w:rsidR="00BE6CAB">
        <w:t xml:space="preserve">Horizon </w:t>
      </w:r>
      <w:r w:rsidR="00BE6CAB">
        <w:lastRenderedPageBreak/>
        <w:t xml:space="preserve">Dashboard a </w:t>
      </w:r>
      <w:proofErr w:type="spellStart"/>
      <w:r w:rsidR="00790E14">
        <w:t>e</w:t>
      </w:r>
      <w:r w:rsidR="00BE6CAB">
        <w:t>CORD</w:t>
      </w:r>
      <w:r w:rsidR="00790E14">
        <w:t>A</w:t>
      </w:r>
      <w:proofErr w:type="spellEnd"/>
      <w:r w:rsidR="00BE6CAB">
        <w:t xml:space="preserve">. </w:t>
      </w:r>
      <w:r w:rsidR="007B4301">
        <w:t>Proto je třeba přistupovat k nim obezřetně</w:t>
      </w:r>
      <w:r w:rsidR="00E96978">
        <w:t xml:space="preserve"> a </w:t>
      </w:r>
      <w:r w:rsidR="00510CBD">
        <w:t>zejména předpokládat, že</w:t>
      </w:r>
      <w:r w:rsidR="006D614F">
        <w:t> </w:t>
      </w:r>
      <w:r w:rsidR="00510CBD">
        <w:t>jeden projekt bývá často řazen do více vědních kategorií</w:t>
      </w:r>
      <w:r w:rsidR="007B4301">
        <w:t>. Experti z Technologického centra Praha (TC Praha) na tuto skutečnost opakovaně upozorňují</w:t>
      </w:r>
      <w:r w:rsidR="00DC4723">
        <w:t>.</w:t>
      </w:r>
      <w:r w:rsidR="00E96978">
        <w:t xml:space="preserve"> </w:t>
      </w:r>
      <w:r w:rsidR="00DC4723">
        <w:t>V</w:t>
      </w:r>
      <w:r w:rsidR="00E96978">
        <w:t xml:space="preserve"> roce 2024 provedli </w:t>
      </w:r>
      <w:r w:rsidR="00DC4723">
        <w:t xml:space="preserve">podrobnou </w:t>
      </w:r>
      <w:r w:rsidR="00E96978">
        <w:t xml:space="preserve">analýzu </w:t>
      </w:r>
      <w:r w:rsidR="00DC4723">
        <w:t xml:space="preserve">zapojení SHV do rámcového programu Horizont Evropa, včetně porovnání </w:t>
      </w:r>
      <w:r w:rsidR="00510CBD">
        <w:t>nástrojů</w:t>
      </w:r>
      <w:r w:rsidR="00E96978">
        <w:t xml:space="preserve"> </w:t>
      </w:r>
      <w:r w:rsidR="00DC4723">
        <w:t>a</w:t>
      </w:r>
      <w:r w:rsidR="004C5C26">
        <w:t> </w:t>
      </w:r>
      <w:r w:rsidR="00DC4723">
        <w:t xml:space="preserve">metod </w:t>
      </w:r>
      <w:r w:rsidR="00E96978">
        <w:t>měřen</w:t>
      </w:r>
      <w:r w:rsidR="00510CBD">
        <w:t>í</w:t>
      </w:r>
      <w:r w:rsidR="00DC4723">
        <w:t xml:space="preserve"> (</w:t>
      </w:r>
      <w:proofErr w:type="spellStart"/>
      <w:r w:rsidR="00DC4723">
        <w:t>eCORDA</w:t>
      </w:r>
      <w:proofErr w:type="spellEnd"/>
      <w:r w:rsidR="00DC4723">
        <w:t>, Horizon Dashboard, vlastní šetření)</w:t>
      </w:r>
      <w:r w:rsidR="00E96978">
        <w:t>.</w:t>
      </w:r>
      <w:r w:rsidR="004C5C26">
        <w:t xml:space="preserve"> Prokázali nejen, že SHV prostupují všemi </w:t>
      </w:r>
      <w:r w:rsidR="006063D1">
        <w:t>pilíři</w:t>
      </w:r>
      <w:r w:rsidR="004C5C26">
        <w:t xml:space="preserve"> </w:t>
      </w:r>
      <w:r w:rsidR="00201F84">
        <w:t xml:space="preserve">a klastry </w:t>
      </w:r>
      <w:r w:rsidR="004C5C26">
        <w:t>programu Horizont Evropa, ale i diskrepance mezi nástroji a</w:t>
      </w:r>
      <w:r w:rsidR="00201F84">
        <w:t> </w:t>
      </w:r>
      <w:r w:rsidR="004C5C26">
        <w:t>metodami, kdy se jako metodologicky nejspolehlivější ukázalo podrobné vlastní zpracování</w:t>
      </w:r>
      <w:r w:rsidR="006D614F">
        <w:t xml:space="preserve"> (ruční prostudování všech pracovních dokumentů klastrů II. pilíře pro období 2021–2024</w:t>
      </w:r>
      <w:r w:rsidR="0061688F">
        <w:t>, což je souhlasně potvrzeno také v závěrech níže citované</w:t>
      </w:r>
      <w:r w:rsidR="008A08A5">
        <w:t xml:space="preserve"> </w:t>
      </w:r>
      <w:r w:rsidR="0061688F">
        <w:t>zprávy E</w:t>
      </w:r>
      <w:r w:rsidR="006063D1">
        <w:t>vropské komise, EK</w:t>
      </w:r>
      <w:r w:rsidR="006D614F">
        <w:t>).</w:t>
      </w:r>
      <w:r w:rsidR="001A0176">
        <w:t xml:space="preserve"> </w:t>
      </w:r>
    </w:p>
    <w:p w14:paraId="74C8170F" w14:textId="5E1C23EF" w:rsidR="00DC4723" w:rsidRDefault="00E96978" w:rsidP="00DC4723">
      <w:pPr>
        <w:spacing w:after="120"/>
        <w:jc w:val="both"/>
      </w:pPr>
      <w:r>
        <w:t>V</w:t>
      </w:r>
      <w:r w:rsidR="00DC4723">
        <w:t> následující části</w:t>
      </w:r>
      <w:r w:rsidR="000403C1">
        <w:t xml:space="preserve"> je </w:t>
      </w:r>
      <w:r w:rsidR="00375238">
        <w:t xml:space="preserve">pro </w:t>
      </w:r>
      <w:r w:rsidR="00DC4723">
        <w:t>univerzálnost</w:t>
      </w:r>
      <w:r w:rsidR="004C5C26">
        <w:t xml:space="preserve"> zvolen</w:t>
      </w:r>
      <w:r w:rsidR="000403C1">
        <w:t xml:space="preserve"> datově-vizualizační nástroj EK Horizon Dashboard, který umožňuje vytvářet datové sestavy </w:t>
      </w:r>
      <w:r w:rsidR="004C5C26">
        <w:t>ve všech pilířích programu Horizont Evropa s ohledem na</w:t>
      </w:r>
      <w:r w:rsidR="000403C1">
        <w:t xml:space="preserve"> </w:t>
      </w:r>
      <w:r w:rsidR="00510CBD">
        <w:t>specifick</w:t>
      </w:r>
      <w:r w:rsidR="004C5C26">
        <w:t>é</w:t>
      </w:r>
      <w:r w:rsidR="00510CBD">
        <w:t xml:space="preserve"> </w:t>
      </w:r>
      <w:r w:rsidR="000403C1">
        <w:t>potřeb</w:t>
      </w:r>
      <w:r w:rsidR="004C5C26">
        <w:t>y</w:t>
      </w:r>
      <w:r w:rsidR="00FB57B7">
        <w:t xml:space="preserve"> uživatele</w:t>
      </w:r>
      <w:r w:rsidR="000403C1">
        <w:t>.</w:t>
      </w:r>
      <w:r w:rsidR="00E31361">
        <w:t xml:space="preserve"> </w:t>
      </w:r>
      <w:r w:rsidR="00FB57B7">
        <w:t xml:space="preserve">Dle nejobecnější 1. úrovně klasifikace </w:t>
      </w:r>
      <w:proofErr w:type="spellStart"/>
      <w:r w:rsidR="002E1549" w:rsidRPr="008A08A5">
        <w:rPr>
          <w:rFonts w:eastAsia="Times New Roman" w:cs="Arial"/>
          <w:i/>
          <w:iCs/>
          <w:lang w:eastAsia="cs-CZ"/>
        </w:rPr>
        <w:t>European</w:t>
      </w:r>
      <w:proofErr w:type="spellEnd"/>
      <w:r w:rsidR="002E1549" w:rsidRPr="008A08A5">
        <w:rPr>
          <w:rFonts w:eastAsia="Times New Roman" w:cs="Arial"/>
          <w:i/>
          <w:iCs/>
          <w:lang w:eastAsia="cs-CZ"/>
        </w:rPr>
        <w:t xml:space="preserve"> Science </w:t>
      </w:r>
      <w:proofErr w:type="spellStart"/>
      <w:r w:rsidR="002E1549" w:rsidRPr="008A08A5">
        <w:rPr>
          <w:rFonts w:eastAsia="Times New Roman" w:cs="Arial"/>
          <w:i/>
          <w:iCs/>
          <w:lang w:eastAsia="cs-CZ"/>
        </w:rPr>
        <w:t>Vocabulary</w:t>
      </w:r>
      <w:proofErr w:type="spellEnd"/>
      <w:r w:rsidR="002E1549">
        <w:t xml:space="preserve"> (</w:t>
      </w:r>
      <w:proofErr w:type="spellStart"/>
      <w:r w:rsidR="00FB57B7">
        <w:t>EuroSciVoc</w:t>
      </w:r>
      <w:proofErr w:type="spellEnd"/>
      <w:r w:rsidR="002E1549">
        <w:t>)</w:t>
      </w:r>
      <w:r w:rsidR="00FB57B7">
        <w:t xml:space="preserve"> je k datu 6. listopadu 2025 oborové rozvržení vyjádřené </w:t>
      </w:r>
      <w:r w:rsidR="004C5C26">
        <w:t>procentem počtu</w:t>
      </w:r>
      <w:r w:rsidR="00FB57B7">
        <w:t xml:space="preserve"> grantů Horizont Evropa za období 2021 až </w:t>
      </w:r>
      <w:r w:rsidR="000C338C">
        <w:t xml:space="preserve">listopad </w:t>
      </w:r>
      <w:r w:rsidR="00FB57B7">
        <w:t>2025 následující:</w:t>
      </w:r>
    </w:p>
    <w:p w14:paraId="0B039B22" w14:textId="6E649F7C" w:rsidR="00FB57B7" w:rsidRDefault="00FB57B7" w:rsidP="00FB57B7">
      <w:pPr>
        <w:spacing w:after="0"/>
        <w:jc w:val="both"/>
      </w:pPr>
      <w:r>
        <w:rPr>
          <w:noProof/>
        </w:rPr>
        <mc:AlternateContent>
          <mc:Choice Requires="cx1">
            <w:drawing>
              <wp:inline distT="0" distB="0" distL="0" distR="0" wp14:anchorId="25473E40" wp14:editId="138FBF23">
                <wp:extent cx="5732145" cy="1476375"/>
                <wp:effectExtent l="0" t="0" r="1905" b="9525"/>
                <wp:docPr id="1616926321" name="Graf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FAB10-1723-C25B-CC9E-D716B168E6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2"/>
                  </a:graphicData>
                </a:graphic>
              </wp:inline>
            </w:drawing>
          </mc:Choice>
          <mc:Fallback>
            <w:drawing>
              <wp:inline distT="0" distB="0" distL="0" distR="0" wp14:anchorId="25473E40" wp14:editId="138FBF23">
                <wp:extent cx="5732145" cy="1476375"/>
                <wp:effectExtent l="0" t="0" r="1905" b="9525"/>
                <wp:docPr id="1616926321" name="Graf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FAB10-1723-C25B-CC9E-D716B168E6EF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6926321" name="Graf 1">
                          <a:extLst>
                            <a:ext uri="{FF2B5EF4-FFF2-40B4-BE49-F238E27FC236}">
                              <a16:creationId xmlns:a16="http://schemas.microsoft.com/office/drawing/2014/main" id="{4D1FAB10-1723-C25B-CC9E-D716B168E6EF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2145" cy="147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37A9EAFA" w14:textId="0DA23F40" w:rsidR="00FB57B7" w:rsidRPr="00FB57B7" w:rsidRDefault="00FB57B7" w:rsidP="00FB57B7">
      <w:pPr>
        <w:pStyle w:val="Obrzek-nadpis"/>
        <w:spacing w:before="0"/>
        <w:rPr>
          <w:b w:val="0"/>
          <w:bCs/>
          <w:i/>
          <w:iCs/>
          <w:sz w:val="20"/>
          <w:szCs w:val="22"/>
        </w:rPr>
      </w:pPr>
      <w:r w:rsidRPr="009F1523">
        <w:rPr>
          <w:b w:val="0"/>
          <w:bCs/>
          <w:i/>
          <w:iCs/>
          <w:sz w:val="20"/>
          <w:szCs w:val="22"/>
        </w:rPr>
        <w:t xml:space="preserve">Zdroj: vlastní zpracování s využitím </w:t>
      </w:r>
      <w:hyperlink r:id="rId14" w:history="1">
        <w:r w:rsidRPr="004174F5">
          <w:rPr>
            <w:rStyle w:val="Hypertextovodkaz"/>
            <w:b w:val="0"/>
            <w:bCs/>
            <w:i/>
            <w:iCs/>
            <w:sz w:val="20"/>
            <w:szCs w:val="22"/>
          </w:rPr>
          <w:t>Horizon Dashboard</w:t>
        </w:r>
      </w:hyperlink>
      <w:r>
        <w:rPr>
          <w:b w:val="0"/>
          <w:bCs/>
          <w:i/>
          <w:iCs/>
          <w:sz w:val="20"/>
          <w:szCs w:val="22"/>
        </w:rPr>
        <w:t>, export dat 6. 11. 2025</w:t>
      </w:r>
    </w:p>
    <w:p w14:paraId="2EC65178" w14:textId="64F450E5" w:rsidR="00BD1F66" w:rsidRDefault="00FB57B7" w:rsidP="00BD1F66">
      <w:pPr>
        <w:spacing w:after="120"/>
        <w:jc w:val="both"/>
      </w:pPr>
      <w:r>
        <w:t>Pro</w:t>
      </w:r>
      <w:r w:rsidR="000403C1">
        <w:t xml:space="preserve"> </w:t>
      </w:r>
      <w:r w:rsidR="00E31361">
        <w:t>SHV</w:t>
      </w:r>
      <w:r w:rsidR="000403C1">
        <w:t xml:space="preserve"> </w:t>
      </w:r>
      <w:r>
        <w:t xml:space="preserve">je </w:t>
      </w:r>
      <w:r w:rsidR="00201F84">
        <w:t xml:space="preserve">ve stejném sledovaném období </w:t>
      </w:r>
      <w:r w:rsidR="00C74BD5">
        <w:t>ve</w:t>
      </w:r>
      <w:r w:rsidR="00E96978">
        <w:t> </w:t>
      </w:r>
      <w:r w:rsidR="00C74BD5">
        <w:t xml:space="preserve">všech pilířích Horizontu Evropa </w:t>
      </w:r>
      <w:r w:rsidR="000403C1">
        <w:t xml:space="preserve">vykazováno </w:t>
      </w:r>
      <w:r w:rsidR="008C6027">
        <w:t>za</w:t>
      </w:r>
      <w:r w:rsidR="00201F84">
        <w:t> </w:t>
      </w:r>
      <w:r w:rsidR="008C6027">
        <w:t xml:space="preserve">EU </w:t>
      </w:r>
      <w:r w:rsidR="000403C1">
        <w:t xml:space="preserve">celkem </w:t>
      </w:r>
      <w:r w:rsidR="00E31361">
        <w:t>31 826</w:t>
      </w:r>
      <w:r w:rsidR="000403C1">
        <w:t xml:space="preserve"> účastí v projektech a</w:t>
      </w:r>
      <w:r w:rsidR="00E96978">
        <w:t> </w:t>
      </w:r>
      <w:r w:rsidR="000403C1">
        <w:t xml:space="preserve">čistý příspěvek EU </w:t>
      </w:r>
      <w:r w:rsidR="00E31361">
        <w:t>13,01</w:t>
      </w:r>
      <w:r w:rsidR="00375238">
        <w:t> </w:t>
      </w:r>
      <w:r w:rsidR="000403C1">
        <w:t xml:space="preserve">mld. </w:t>
      </w:r>
      <w:r w:rsidR="008C6027">
        <w:t>€</w:t>
      </w:r>
      <w:r w:rsidR="00E31361">
        <w:t xml:space="preserve">. Česká republika zaujímá celkem 455 účastí </w:t>
      </w:r>
      <w:r w:rsidR="004C5C26">
        <w:t>s</w:t>
      </w:r>
      <w:r>
        <w:t> </w:t>
      </w:r>
      <w:r w:rsidR="00E31361">
        <w:t xml:space="preserve">čistým příspěvkem EU </w:t>
      </w:r>
      <w:r w:rsidR="00C74BD5">
        <w:t>152,7</w:t>
      </w:r>
      <w:r w:rsidR="00375238">
        <w:t> </w:t>
      </w:r>
      <w:r w:rsidR="00C74BD5">
        <w:t>mil.</w:t>
      </w:r>
      <w:r w:rsidR="008C6027">
        <w:t> €</w:t>
      </w:r>
      <w:r w:rsidR="00C74BD5">
        <w:t xml:space="preserve">. </w:t>
      </w:r>
      <w:r w:rsidR="00DC4723">
        <w:t xml:space="preserve">Při interpretaci počtu účastí a příspěvku EU je zásadní si uvědomit, že nejde o počet účastí nebo prostředky EU nárokované SHV, ale o počet účastí a prostředky EU </w:t>
      </w:r>
      <w:r w:rsidR="00DC4723" w:rsidRPr="00510CBD">
        <w:rPr>
          <w:b/>
          <w:bCs/>
        </w:rPr>
        <w:t>mající vazbu na SHV</w:t>
      </w:r>
      <w:r w:rsidR="00DC4723">
        <w:t>.</w:t>
      </w:r>
      <w:r>
        <w:t xml:space="preserve"> </w:t>
      </w:r>
      <w:r w:rsidR="00C74BD5">
        <w:t xml:space="preserve">Z hlediska účasti i čistého příspěvku se </w:t>
      </w:r>
      <w:r>
        <w:t xml:space="preserve">proto </w:t>
      </w:r>
      <w:r w:rsidR="00C74BD5">
        <w:t>jeví, že</w:t>
      </w:r>
      <w:r>
        <w:t> </w:t>
      </w:r>
      <w:r w:rsidRPr="00FB57B7">
        <w:t xml:space="preserve">SHV </w:t>
      </w:r>
      <w:r w:rsidR="00C74BD5">
        <w:t xml:space="preserve">jsou </w:t>
      </w:r>
      <w:r w:rsidR="00C74BD5" w:rsidRPr="00FB57B7">
        <w:t xml:space="preserve">zastoupeny průměrně z jedné </w:t>
      </w:r>
      <w:r w:rsidR="00C74BD5" w:rsidRPr="00201F84">
        <w:rPr>
          <w:b/>
          <w:bCs/>
        </w:rPr>
        <w:t>třetiny</w:t>
      </w:r>
      <w:r w:rsidR="00375238">
        <w:t xml:space="preserve"> (EU účast 34 %, příspěvek 31 %, ČR účast 28</w:t>
      </w:r>
      <w:r w:rsidR="00DC4723">
        <w:t> </w:t>
      </w:r>
      <w:r w:rsidR="00375238">
        <w:t>%, příspěvek 27 %).</w:t>
      </w:r>
      <w:r w:rsidR="008C6027">
        <w:t xml:space="preserve"> Nejvíce účastí i čistých příspěvků </w:t>
      </w:r>
      <w:r w:rsidR="00201F84">
        <w:t>vykazují</w:t>
      </w:r>
      <w:r w:rsidR="008C6027">
        <w:t xml:space="preserve"> Německo, Španělsko, Itálie, Francie a Nizozemsko.</w:t>
      </w:r>
    </w:p>
    <w:p w14:paraId="7153AE6C" w14:textId="28AA9A37" w:rsidR="008C6027" w:rsidRDefault="008C6027" w:rsidP="0061688F">
      <w:pPr>
        <w:pStyle w:val="Obrzek-nadpis"/>
        <w:spacing w:after="0"/>
      </w:pPr>
      <w:r>
        <w:t xml:space="preserve">Srovnání podílu SHV na celkovém počtu financovaných účastí v projektech </w:t>
      </w:r>
      <w:r w:rsidRPr="006C181C">
        <w:t>H</w:t>
      </w:r>
      <w:r w:rsidR="00FB57B7">
        <w:t>orizont Evropa</w:t>
      </w:r>
      <w:r w:rsidR="001E619D">
        <w:t xml:space="preserve"> (2021–11/2025)</w:t>
      </w:r>
    </w:p>
    <w:p w14:paraId="177181F2" w14:textId="1644CD58" w:rsidR="008C6027" w:rsidRDefault="008C6027" w:rsidP="00BD1F66">
      <w:pPr>
        <w:spacing w:after="120"/>
        <w:jc w:val="both"/>
      </w:pPr>
      <w:r>
        <w:rPr>
          <w:noProof/>
        </w:rPr>
        <w:drawing>
          <wp:inline distT="0" distB="0" distL="0" distR="0" wp14:anchorId="68865D57" wp14:editId="32A6443B">
            <wp:extent cx="5760720" cy="2362200"/>
            <wp:effectExtent l="0" t="0" r="0" b="0"/>
            <wp:docPr id="48124690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EF04A859-AF50-39BE-15C8-25A807B472E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9CD82A1" w14:textId="2F11CE68" w:rsidR="008C6027" w:rsidRDefault="008C6027" w:rsidP="008C6027">
      <w:pPr>
        <w:pStyle w:val="Obrzek-nadpis"/>
      </w:pPr>
      <w:r>
        <w:lastRenderedPageBreak/>
        <w:t>Srovnání p</w:t>
      </w:r>
      <w:r w:rsidRPr="006C181C">
        <w:t>o</w:t>
      </w:r>
      <w:r>
        <w:t>dílu SHV na celkovém příspěvku EU v</w:t>
      </w:r>
      <w:r w:rsidR="00FB57B7">
        <w:t xml:space="preserve"> mil. </w:t>
      </w:r>
      <w:r>
        <w:t>€</w:t>
      </w:r>
      <w:r w:rsidR="001E619D">
        <w:t xml:space="preserve"> (2021–11/2025)</w:t>
      </w:r>
    </w:p>
    <w:p w14:paraId="7417CB4F" w14:textId="160B5DCF" w:rsidR="008C6027" w:rsidRDefault="008C6027" w:rsidP="004C5C26">
      <w:pPr>
        <w:spacing w:after="0"/>
        <w:jc w:val="both"/>
      </w:pPr>
      <w:r>
        <w:rPr>
          <w:noProof/>
        </w:rPr>
        <w:drawing>
          <wp:inline distT="0" distB="0" distL="0" distR="0" wp14:anchorId="4D1A8439" wp14:editId="15326800">
            <wp:extent cx="5760720" cy="2495550"/>
            <wp:effectExtent l="0" t="0" r="0" b="0"/>
            <wp:docPr id="169141613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2DA6A61B-85A7-C498-DADC-617D204831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C9B61A0" w14:textId="4F658A63" w:rsidR="0073195A" w:rsidRPr="00623150" w:rsidRDefault="008C6027" w:rsidP="00623150">
      <w:pPr>
        <w:pStyle w:val="Obrzek-nadpis"/>
        <w:spacing w:before="0"/>
        <w:rPr>
          <w:b w:val="0"/>
          <w:bCs/>
          <w:i/>
          <w:iCs/>
          <w:sz w:val="20"/>
          <w:szCs w:val="22"/>
        </w:rPr>
      </w:pPr>
      <w:r w:rsidRPr="009F1523">
        <w:rPr>
          <w:b w:val="0"/>
          <w:bCs/>
          <w:i/>
          <w:iCs/>
          <w:sz w:val="20"/>
          <w:szCs w:val="22"/>
        </w:rPr>
        <w:t xml:space="preserve">Zdroj: vlastní zpracování s využitím </w:t>
      </w:r>
      <w:hyperlink r:id="rId17" w:history="1">
        <w:r w:rsidRPr="004174F5">
          <w:rPr>
            <w:rStyle w:val="Hypertextovodkaz"/>
            <w:b w:val="0"/>
            <w:bCs/>
            <w:i/>
            <w:iCs/>
            <w:sz w:val="20"/>
            <w:szCs w:val="22"/>
          </w:rPr>
          <w:t>Horizon Dashboard</w:t>
        </w:r>
      </w:hyperlink>
      <w:r>
        <w:rPr>
          <w:b w:val="0"/>
          <w:bCs/>
          <w:i/>
          <w:iCs/>
          <w:sz w:val="20"/>
          <w:szCs w:val="22"/>
        </w:rPr>
        <w:t xml:space="preserve">, export dat </w:t>
      </w:r>
      <w:r w:rsidR="00FB57B7">
        <w:rPr>
          <w:b w:val="0"/>
          <w:bCs/>
          <w:i/>
          <w:iCs/>
          <w:sz w:val="20"/>
          <w:szCs w:val="22"/>
        </w:rPr>
        <w:t>6</w:t>
      </w:r>
      <w:r>
        <w:rPr>
          <w:b w:val="0"/>
          <w:bCs/>
          <w:i/>
          <w:iCs/>
          <w:sz w:val="20"/>
          <w:szCs w:val="22"/>
        </w:rPr>
        <w:t>. 11. 2025</w:t>
      </w:r>
    </w:p>
    <w:p w14:paraId="145B3930" w14:textId="1E37DE11" w:rsidR="00201F84" w:rsidRDefault="00F85064" w:rsidP="00623150">
      <w:pPr>
        <w:pStyle w:val="Obrzek-nadpis"/>
        <w:spacing w:before="240"/>
      </w:pPr>
      <w:r>
        <w:t>Podpora</w:t>
      </w:r>
      <w:r w:rsidR="00201F84">
        <w:t xml:space="preserve"> </w:t>
      </w:r>
      <w:r w:rsidR="00623150">
        <w:t xml:space="preserve">SHV </w:t>
      </w:r>
      <w:r w:rsidR="00824783">
        <w:t>ve II. pilíři Horizontu Evropa – Globální</w:t>
      </w:r>
      <w:r w:rsidR="00824783" w:rsidRPr="00824783">
        <w:t xml:space="preserve"> výzvy a konkurenceschopnost evropského průmyslu</w:t>
      </w:r>
    </w:p>
    <w:p w14:paraId="4209E675" w14:textId="3079262A" w:rsidR="00864A0E" w:rsidRDefault="00864A0E" w:rsidP="00864A0E">
      <w:pPr>
        <w:pStyle w:val="Obrzek-nadpis"/>
        <w:spacing w:before="240"/>
        <w:rPr>
          <w:b w:val="0"/>
          <w:bCs/>
        </w:rPr>
      </w:pPr>
      <w:r w:rsidRPr="00864A0E">
        <w:rPr>
          <w:b w:val="0"/>
          <w:bCs/>
        </w:rPr>
        <w:t>Dle monitorovací zprávy EK</w:t>
      </w:r>
      <w:r>
        <w:rPr>
          <w:b w:val="0"/>
          <w:bCs/>
        </w:rPr>
        <w:t xml:space="preserve"> </w:t>
      </w:r>
      <w:proofErr w:type="spellStart"/>
      <w:r w:rsidRPr="006B6A02">
        <w:rPr>
          <w:b w:val="0"/>
          <w:bCs/>
          <w:i/>
          <w:iCs/>
        </w:rPr>
        <w:t>Integration</w:t>
      </w:r>
      <w:proofErr w:type="spellEnd"/>
      <w:r w:rsidRPr="006B6A02">
        <w:rPr>
          <w:b w:val="0"/>
          <w:bCs/>
          <w:i/>
          <w:iCs/>
        </w:rPr>
        <w:t xml:space="preserve"> </w:t>
      </w:r>
      <w:proofErr w:type="spellStart"/>
      <w:r w:rsidRPr="006B6A02">
        <w:rPr>
          <w:b w:val="0"/>
          <w:bCs/>
          <w:i/>
          <w:iCs/>
        </w:rPr>
        <w:t>of</w:t>
      </w:r>
      <w:proofErr w:type="spellEnd"/>
      <w:r w:rsidRPr="006B6A02">
        <w:rPr>
          <w:b w:val="0"/>
          <w:bCs/>
          <w:i/>
          <w:iCs/>
        </w:rPr>
        <w:t xml:space="preserve"> </w:t>
      </w:r>
      <w:proofErr w:type="spellStart"/>
      <w:r w:rsidRPr="006B6A02">
        <w:rPr>
          <w:b w:val="0"/>
          <w:bCs/>
          <w:i/>
          <w:iCs/>
        </w:rPr>
        <w:t>Social</w:t>
      </w:r>
      <w:proofErr w:type="spellEnd"/>
      <w:r w:rsidRPr="006B6A02">
        <w:rPr>
          <w:b w:val="0"/>
          <w:bCs/>
          <w:i/>
          <w:iCs/>
        </w:rPr>
        <w:t xml:space="preserve"> </w:t>
      </w:r>
      <w:proofErr w:type="spellStart"/>
      <w:r w:rsidRPr="006B6A02">
        <w:rPr>
          <w:b w:val="0"/>
          <w:bCs/>
          <w:i/>
          <w:iCs/>
        </w:rPr>
        <w:t>Sciences</w:t>
      </w:r>
      <w:proofErr w:type="spellEnd"/>
      <w:r w:rsidRPr="006B6A02">
        <w:rPr>
          <w:b w:val="0"/>
          <w:bCs/>
          <w:i/>
          <w:iCs/>
        </w:rPr>
        <w:t xml:space="preserve"> and </w:t>
      </w:r>
      <w:proofErr w:type="spellStart"/>
      <w:r w:rsidRPr="006B6A02">
        <w:rPr>
          <w:b w:val="0"/>
          <w:bCs/>
          <w:i/>
          <w:iCs/>
        </w:rPr>
        <w:t>Humanities</w:t>
      </w:r>
      <w:proofErr w:type="spellEnd"/>
      <w:r w:rsidRPr="006B6A02">
        <w:rPr>
          <w:b w:val="0"/>
          <w:bCs/>
          <w:i/>
          <w:iCs/>
        </w:rPr>
        <w:t xml:space="preserve"> (SSH) in Horizon </w:t>
      </w:r>
      <w:proofErr w:type="spellStart"/>
      <w:r w:rsidRPr="006B6A02">
        <w:rPr>
          <w:b w:val="0"/>
          <w:bCs/>
          <w:i/>
          <w:iCs/>
        </w:rPr>
        <w:t>Europe</w:t>
      </w:r>
      <w:proofErr w:type="spellEnd"/>
      <w:r>
        <w:rPr>
          <w:b w:val="0"/>
          <w:bCs/>
        </w:rPr>
        <w:t xml:space="preserve"> zveřejněné v roce 2025 </w:t>
      </w:r>
      <w:r w:rsidR="006B6A02">
        <w:rPr>
          <w:b w:val="0"/>
          <w:bCs/>
        </w:rPr>
        <w:t>dosahuje</w:t>
      </w:r>
      <w:r>
        <w:rPr>
          <w:b w:val="0"/>
          <w:bCs/>
        </w:rPr>
        <w:t xml:space="preserve"> zastoupení SHV</w:t>
      </w:r>
      <w:r w:rsidR="006B6A02">
        <w:rPr>
          <w:b w:val="0"/>
          <w:bCs/>
        </w:rPr>
        <w:t xml:space="preserve"> (zastoupením ve zprávě označovaným </w:t>
      </w:r>
      <w:r w:rsidR="000F031F">
        <w:rPr>
          <w:b w:val="0"/>
          <w:bCs/>
        </w:rPr>
        <w:t xml:space="preserve">jako </w:t>
      </w:r>
      <w:r w:rsidR="006B6A02" w:rsidRPr="000F031F">
        <w:rPr>
          <w:b w:val="0"/>
          <w:bCs/>
          <w:i/>
          <w:iCs/>
        </w:rPr>
        <w:t>SSH-</w:t>
      </w:r>
      <w:proofErr w:type="spellStart"/>
      <w:r w:rsidR="006B6A02" w:rsidRPr="000F031F">
        <w:rPr>
          <w:b w:val="0"/>
          <w:bCs/>
          <w:i/>
          <w:iCs/>
        </w:rPr>
        <w:t>flagged</w:t>
      </w:r>
      <w:proofErr w:type="spellEnd"/>
      <w:r w:rsidR="006B6A02" w:rsidRPr="000F031F">
        <w:rPr>
          <w:b w:val="0"/>
          <w:bCs/>
          <w:i/>
          <w:iCs/>
        </w:rPr>
        <w:t xml:space="preserve"> </w:t>
      </w:r>
      <w:proofErr w:type="spellStart"/>
      <w:r w:rsidR="006B6A02" w:rsidRPr="000F031F">
        <w:rPr>
          <w:b w:val="0"/>
          <w:bCs/>
          <w:i/>
          <w:iCs/>
        </w:rPr>
        <w:t>topics</w:t>
      </w:r>
      <w:proofErr w:type="spellEnd"/>
      <w:r w:rsidR="006B6A02">
        <w:rPr>
          <w:b w:val="0"/>
          <w:bCs/>
        </w:rPr>
        <w:t xml:space="preserve"> rozumějme témata s vazbu na SHV)</w:t>
      </w:r>
      <w:r>
        <w:rPr>
          <w:b w:val="0"/>
          <w:bCs/>
        </w:rPr>
        <w:t xml:space="preserve"> v letech 2021–2023</w:t>
      </w:r>
      <w:r w:rsidR="001A0176">
        <w:rPr>
          <w:rStyle w:val="Znakapoznpodarou"/>
          <w:b w:val="0"/>
          <w:bCs/>
        </w:rPr>
        <w:footnoteReference w:id="1"/>
      </w:r>
      <w:r>
        <w:rPr>
          <w:b w:val="0"/>
          <w:bCs/>
        </w:rPr>
        <w:t xml:space="preserve"> </w:t>
      </w:r>
      <w:r w:rsidR="006B6A02">
        <w:rPr>
          <w:b w:val="0"/>
          <w:bCs/>
        </w:rPr>
        <w:t xml:space="preserve">přibližně </w:t>
      </w:r>
      <w:r w:rsidR="006B6A02" w:rsidRPr="001A0176">
        <w:t>40 %</w:t>
      </w:r>
      <w:r w:rsidR="006B6A02">
        <w:rPr>
          <w:b w:val="0"/>
          <w:bCs/>
        </w:rPr>
        <w:t>, přičemž:</w:t>
      </w:r>
    </w:p>
    <w:p w14:paraId="0EA3C243" w14:textId="03CF077C" w:rsidR="006B6A02" w:rsidRPr="006B6A02" w:rsidRDefault="006B6A02" w:rsidP="006B6A02">
      <w:pPr>
        <w:pStyle w:val="Obrzek-nadpis"/>
        <w:numPr>
          <w:ilvl w:val="0"/>
          <w:numId w:val="8"/>
        </w:numPr>
        <w:spacing w:after="0" w:line="276" w:lineRule="auto"/>
        <w:ind w:left="714" w:hanging="357"/>
        <w:contextualSpacing/>
        <w:rPr>
          <w:b w:val="0"/>
          <w:bCs/>
        </w:rPr>
      </w:pPr>
      <w:r>
        <w:rPr>
          <w:b w:val="0"/>
          <w:bCs/>
        </w:rPr>
        <w:t xml:space="preserve">na témata s vazbou na SHV bylo přiděleno celkem 7,2 mld € (tj. 41 % celkového </w:t>
      </w:r>
      <w:r w:rsidRPr="006B6A02">
        <w:rPr>
          <w:b w:val="0"/>
          <w:bCs/>
        </w:rPr>
        <w:t>rozpočtu</w:t>
      </w:r>
      <w:r w:rsidR="001A0176">
        <w:rPr>
          <w:b w:val="0"/>
          <w:bCs/>
        </w:rPr>
        <w:t>, srov. H2020 33 %</w:t>
      </w:r>
      <w:r w:rsidRPr="006B6A02">
        <w:rPr>
          <w:b w:val="0"/>
          <w:bCs/>
        </w:rPr>
        <w:t>),</w:t>
      </w:r>
    </w:p>
    <w:p w14:paraId="62B9D248" w14:textId="35CB9999" w:rsidR="006B6A02" w:rsidRPr="006B6A02" w:rsidRDefault="006B6A02" w:rsidP="006B6A02">
      <w:pPr>
        <w:pStyle w:val="Obrzek-nadpis"/>
        <w:numPr>
          <w:ilvl w:val="0"/>
          <w:numId w:val="8"/>
        </w:numPr>
        <w:spacing w:after="0" w:line="276" w:lineRule="auto"/>
        <w:ind w:left="714" w:hanging="357"/>
        <w:contextualSpacing/>
        <w:rPr>
          <w:b w:val="0"/>
          <w:bCs/>
        </w:rPr>
      </w:pPr>
      <w:r w:rsidRPr="006B6A02">
        <w:rPr>
          <w:b w:val="0"/>
          <w:bCs/>
        </w:rPr>
        <w:t>88 % projektů mělo alespoň jednoho S</w:t>
      </w:r>
      <w:r>
        <w:rPr>
          <w:b w:val="0"/>
          <w:bCs/>
        </w:rPr>
        <w:t>HV</w:t>
      </w:r>
      <w:r w:rsidRPr="006B6A02">
        <w:rPr>
          <w:b w:val="0"/>
          <w:bCs/>
        </w:rPr>
        <w:t xml:space="preserve"> partnera</w:t>
      </w:r>
      <w:r w:rsidR="0068716F">
        <w:rPr>
          <w:b w:val="0"/>
          <w:bCs/>
        </w:rPr>
        <w:t>,</w:t>
      </w:r>
      <w:r w:rsidRPr="006B6A02">
        <w:rPr>
          <w:b w:val="0"/>
          <w:bCs/>
        </w:rPr>
        <w:t xml:space="preserve"> </w:t>
      </w:r>
    </w:p>
    <w:p w14:paraId="49232739" w14:textId="32C34A6A" w:rsidR="006B6A02" w:rsidRPr="006B6A02" w:rsidRDefault="006B6A02" w:rsidP="006B6A02">
      <w:pPr>
        <w:pStyle w:val="Obrzek-nadpis"/>
        <w:numPr>
          <w:ilvl w:val="0"/>
          <w:numId w:val="8"/>
        </w:numPr>
        <w:spacing w:after="0" w:line="276" w:lineRule="auto"/>
        <w:ind w:left="714" w:hanging="357"/>
        <w:contextualSpacing/>
        <w:rPr>
          <w:b w:val="0"/>
          <w:bCs/>
        </w:rPr>
      </w:pPr>
      <w:r w:rsidRPr="006B6A02">
        <w:rPr>
          <w:b w:val="0"/>
          <w:bCs/>
        </w:rPr>
        <w:t>22 % všech partnerů byli zástupci S</w:t>
      </w:r>
      <w:r>
        <w:rPr>
          <w:b w:val="0"/>
          <w:bCs/>
        </w:rPr>
        <w:t>HV</w:t>
      </w:r>
      <w:r w:rsidRPr="006B6A02">
        <w:rPr>
          <w:b w:val="0"/>
          <w:bCs/>
        </w:rPr>
        <w:t xml:space="preserve"> oborů</w:t>
      </w:r>
      <w:r w:rsidR="0068716F">
        <w:rPr>
          <w:b w:val="0"/>
          <w:bCs/>
        </w:rPr>
        <w:t>,</w:t>
      </w:r>
      <w:r w:rsidRPr="006B6A02">
        <w:rPr>
          <w:b w:val="0"/>
          <w:bCs/>
        </w:rPr>
        <w:t xml:space="preserve"> </w:t>
      </w:r>
    </w:p>
    <w:p w14:paraId="367722C1" w14:textId="6812E4C4" w:rsidR="006B6A02" w:rsidRPr="006B6A02" w:rsidRDefault="006B6A02" w:rsidP="006B6A02">
      <w:pPr>
        <w:pStyle w:val="Obrzek-nadpis"/>
        <w:numPr>
          <w:ilvl w:val="0"/>
          <w:numId w:val="8"/>
        </w:numPr>
        <w:spacing w:after="0" w:line="276" w:lineRule="auto"/>
        <w:ind w:left="714" w:hanging="357"/>
        <w:contextualSpacing/>
        <w:rPr>
          <w:b w:val="0"/>
          <w:bCs/>
        </w:rPr>
      </w:pPr>
      <w:r w:rsidRPr="006B6A02">
        <w:rPr>
          <w:b w:val="0"/>
          <w:bCs/>
        </w:rPr>
        <w:t>42 % projektů mělo koordinátora z oblasti S</w:t>
      </w:r>
      <w:r>
        <w:rPr>
          <w:b w:val="0"/>
          <w:bCs/>
        </w:rPr>
        <w:t>HV</w:t>
      </w:r>
      <w:r w:rsidRPr="006B6A02">
        <w:rPr>
          <w:b w:val="0"/>
          <w:bCs/>
        </w:rPr>
        <w:t>.</w:t>
      </w:r>
    </w:p>
    <w:p w14:paraId="37F0F87A" w14:textId="7122C211" w:rsidR="00864A0E" w:rsidRPr="006B6A02" w:rsidRDefault="00824783" w:rsidP="00623150">
      <w:pPr>
        <w:pStyle w:val="Obrzek-nadpis"/>
        <w:spacing w:before="240"/>
        <w:rPr>
          <w:b w:val="0"/>
          <w:bCs/>
        </w:rPr>
      </w:pPr>
      <w:r>
        <w:rPr>
          <w:b w:val="0"/>
          <w:bCs/>
        </w:rPr>
        <w:t xml:space="preserve">Témata s vazbou na </w:t>
      </w:r>
      <w:r w:rsidRPr="006B6A02">
        <w:rPr>
          <w:b w:val="0"/>
          <w:bCs/>
        </w:rPr>
        <w:t xml:space="preserve">SHV </w:t>
      </w:r>
      <w:r>
        <w:rPr>
          <w:b w:val="0"/>
          <w:bCs/>
        </w:rPr>
        <w:t>a SHV partneři v jednotlivých</w:t>
      </w:r>
      <w:r w:rsidR="006B6A02" w:rsidRPr="006B6A02">
        <w:rPr>
          <w:b w:val="0"/>
          <w:bCs/>
        </w:rPr>
        <w:t xml:space="preserve"> klastrech II. pilíře Horizontu Evropa</w:t>
      </w:r>
      <w:r w:rsidR="006B6A02">
        <w:rPr>
          <w:b w:val="0"/>
          <w:bCs/>
        </w:rPr>
        <w:t>:</w:t>
      </w:r>
    </w:p>
    <w:p w14:paraId="44BBBF16" w14:textId="5E7A9585" w:rsidR="006B6A02" w:rsidRPr="00824783" w:rsidRDefault="00201F84" w:rsidP="00824783">
      <w:pPr>
        <w:pStyle w:val="Obrzek-nadpis"/>
        <w:numPr>
          <w:ilvl w:val="0"/>
          <w:numId w:val="11"/>
        </w:numPr>
        <w:spacing w:after="0" w:line="276" w:lineRule="auto"/>
        <w:contextualSpacing/>
        <w:rPr>
          <w:b w:val="0"/>
          <w:bCs/>
        </w:rPr>
      </w:pPr>
      <w:r w:rsidRPr="00824783">
        <w:t>Zdraví</w:t>
      </w:r>
      <w:r w:rsidRPr="006B6A02">
        <w:rPr>
          <w:b w:val="0"/>
          <w:bCs/>
        </w:rPr>
        <w:t xml:space="preserve"> </w:t>
      </w:r>
      <w:r w:rsidR="006B6A02">
        <w:rPr>
          <w:b w:val="0"/>
          <w:bCs/>
        </w:rPr>
        <w:t xml:space="preserve">– </w:t>
      </w:r>
      <w:r w:rsidR="00824783" w:rsidRPr="00824783">
        <w:rPr>
          <w:b w:val="0"/>
          <w:bCs/>
        </w:rPr>
        <w:t>58 % témat</w:t>
      </w:r>
      <w:r w:rsidR="0034133D">
        <w:rPr>
          <w:b w:val="0"/>
          <w:bCs/>
        </w:rPr>
        <w:t xml:space="preserve"> s vazbou na SHV</w:t>
      </w:r>
      <w:r w:rsidR="00824783" w:rsidRPr="00824783">
        <w:rPr>
          <w:b w:val="0"/>
          <w:bCs/>
        </w:rPr>
        <w:t>, 12 % S</w:t>
      </w:r>
      <w:r w:rsidR="00824783">
        <w:rPr>
          <w:b w:val="0"/>
          <w:bCs/>
        </w:rPr>
        <w:t>HV</w:t>
      </w:r>
      <w:r w:rsidR="00824783" w:rsidRPr="00824783">
        <w:rPr>
          <w:b w:val="0"/>
          <w:bCs/>
        </w:rPr>
        <w:t xml:space="preserve"> partnerů</w:t>
      </w:r>
      <w:r w:rsidR="00824783">
        <w:rPr>
          <w:b w:val="0"/>
          <w:bCs/>
        </w:rPr>
        <w:t>,</w:t>
      </w:r>
    </w:p>
    <w:p w14:paraId="3D36AE66" w14:textId="49C37FBD" w:rsidR="006B6A02" w:rsidRPr="00824783" w:rsidRDefault="00201F84" w:rsidP="00824783">
      <w:pPr>
        <w:pStyle w:val="Obrzek-nadpis"/>
        <w:numPr>
          <w:ilvl w:val="0"/>
          <w:numId w:val="11"/>
        </w:numPr>
        <w:spacing w:after="0" w:line="276" w:lineRule="auto"/>
        <w:contextualSpacing/>
        <w:rPr>
          <w:b w:val="0"/>
          <w:bCs/>
        </w:rPr>
      </w:pPr>
      <w:r w:rsidRPr="00824783">
        <w:t>Kultura, kreativita a inkluzivní společnost</w:t>
      </w:r>
      <w:r w:rsidRPr="00824783">
        <w:rPr>
          <w:b w:val="0"/>
          <w:bCs/>
        </w:rPr>
        <w:t xml:space="preserve"> – </w:t>
      </w:r>
      <w:r w:rsidR="00824783" w:rsidRPr="00824783">
        <w:rPr>
          <w:b w:val="0"/>
          <w:bCs/>
        </w:rPr>
        <w:t xml:space="preserve">100 % </w:t>
      </w:r>
      <w:r w:rsidR="0034133D" w:rsidRPr="00824783">
        <w:rPr>
          <w:b w:val="0"/>
          <w:bCs/>
        </w:rPr>
        <w:t>témat</w:t>
      </w:r>
      <w:r w:rsidR="0034133D">
        <w:rPr>
          <w:b w:val="0"/>
          <w:bCs/>
        </w:rPr>
        <w:t xml:space="preserve"> s vazbou na SHV</w:t>
      </w:r>
      <w:r w:rsidR="00824783" w:rsidRPr="00824783">
        <w:rPr>
          <w:b w:val="0"/>
          <w:bCs/>
        </w:rPr>
        <w:t>, 52</w:t>
      </w:r>
      <w:r w:rsidR="00590E87">
        <w:rPr>
          <w:b w:val="0"/>
          <w:bCs/>
        </w:rPr>
        <w:t> </w:t>
      </w:r>
      <w:r w:rsidR="00824783" w:rsidRPr="00824783">
        <w:rPr>
          <w:b w:val="0"/>
          <w:bCs/>
        </w:rPr>
        <w:t>%</w:t>
      </w:r>
      <w:r w:rsidR="00590E87">
        <w:rPr>
          <w:b w:val="0"/>
          <w:bCs/>
        </w:rPr>
        <w:t> </w:t>
      </w:r>
      <w:r w:rsidR="00824783">
        <w:rPr>
          <w:b w:val="0"/>
          <w:bCs/>
        </w:rPr>
        <w:t xml:space="preserve">SHV </w:t>
      </w:r>
      <w:r w:rsidR="00824783" w:rsidRPr="00824783">
        <w:rPr>
          <w:b w:val="0"/>
          <w:bCs/>
        </w:rPr>
        <w:t>partnerů</w:t>
      </w:r>
      <w:r w:rsidR="00824783">
        <w:rPr>
          <w:b w:val="0"/>
          <w:bCs/>
        </w:rPr>
        <w:t>,</w:t>
      </w:r>
    </w:p>
    <w:p w14:paraId="0FE0A97A" w14:textId="494620C1" w:rsidR="006B6A02" w:rsidRPr="00824783" w:rsidRDefault="00201F84" w:rsidP="00824783">
      <w:pPr>
        <w:pStyle w:val="Obrzek-nadpis"/>
        <w:numPr>
          <w:ilvl w:val="0"/>
          <w:numId w:val="11"/>
        </w:numPr>
        <w:spacing w:after="0" w:line="276" w:lineRule="auto"/>
        <w:contextualSpacing/>
        <w:rPr>
          <w:b w:val="0"/>
          <w:bCs/>
        </w:rPr>
      </w:pPr>
      <w:r w:rsidRPr="00824783">
        <w:t>Civilní bezpečnost pro společnost</w:t>
      </w:r>
      <w:r w:rsidRPr="00824783">
        <w:rPr>
          <w:b w:val="0"/>
          <w:bCs/>
        </w:rPr>
        <w:t xml:space="preserve"> – </w:t>
      </w:r>
      <w:r w:rsidR="00824783" w:rsidRPr="00824783">
        <w:rPr>
          <w:b w:val="0"/>
          <w:bCs/>
        </w:rPr>
        <w:t xml:space="preserve">33 % </w:t>
      </w:r>
      <w:r w:rsidR="0034133D" w:rsidRPr="00824783">
        <w:rPr>
          <w:b w:val="0"/>
          <w:bCs/>
        </w:rPr>
        <w:t>témat</w:t>
      </w:r>
      <w:r w:rsidR="0034133D">
        <w:rPr>
          <w:b w:val="0"/>
          <w:bCs/>
        </w:rPr>
        <w:t xml:space="preserve"> s vazbou na SHV</w:t>
      </w:r>
      <w:r w:rsidR="00824783" w:rsidRPr="00824783">
        <w:rPr>
          <w:b w:val="0"/>
          <w:bCs/>
        </w:rPr>
        <w:t xml:space="preserve">, 20 % </w:t>
      </w:r>
      <w:r w:rsidR="00824783">
        <w:rPr>
          <w:b w:val="0"/>
          <w:bCs/>
        </w:rPr>
        <w:t xml:space="preserve">SHV </w:t>
      </w:r>
      <w:r w:rsidR="00824783" w:rsidRPr="00824783">
        <w:rPr>
          <w:b w:val="0"/>
          <w:bCs/>
        </w:rPr>
        <w:t>partnerů</w:t>
      </w:r>
      <w:r w:rsidR="00824783">
        <w:rPr>
          <w:b w:val="0"/>
          <w:bCs/>
        </w:rPr>
        <w:t>,</w:t>
      </w:r>
    </w:p>
    <w:p w14:paraId="30638CC7" w14:textId="22E74190" w:rsidR="006B6A02" w:rsidRPr="00824783" w:rsidRDefault="00201F84" w:rsidP="00824783">
      <w:pPr>
        <w:pStyle w:val="Obrzek-nadpis"/>
        <w:numPr>
          <w:ilvl w:val="0"/>
          <w:numId w:val="11"/>
        </w:numPr>
        <w:spacing w:after="0" w:line="276" w:lineRule="auto"/>
        <w:contextualSpacing/>
        <w:rPr>
          <w:b w:val="0"/>
          <w:bCs/>
        </w:rPr>
      </w:pPr>
      <w:r w:rsidRPr="00824783">
        <w:t>Digitalizace, průmysl a vesmír</w:t>
      </w:r>
      <w:r w:rsidRPr="00824783">
        <w:rPr>
          <w:b w:val="0"/>
          <w:bCs/>
        </w:rPr>
        <w:t xml:space="preserve"> – </w:t>
      </w:r>
      <w:r w:rsidR="00824783" w:rsidRPr="00824783">
        <w:rPr>
          <w:b w:val="0"/>
          <w:bCs/>
        </w:rPr>
        <w:t xml:space="preserve">29 % </w:t>
      </w:r>
      <w:r w:rsidR="0034133D" w:rsidRPr="00824783">
        <w:rPr>
          <w:b w:val="0"/>
          <w:bCs/>
        </w:rPr>
        <w:t>témat</w:t>
      </w:r>
      <w:r w:rsidR="0034133D">
        <w:rPr>
          <w:b w:val="0"/>
          <w:bCs/>
        </w:rPr>
        <w:t xml:space="preserve"> s vazbou na SHV</w:t>
      </w:r>
      <w:r w:rsidR="00824783" w:rsidRPr="00824783">
        <w:rPr>
          <w:b w:val="0"/>
          <w:bCs/>
        </w:rPr>
        <w:t xml:space="preserve">, 14 % </w:t>
      </w:r>
      <w:r w:rsidR="00824783">
        <w:rPr>
          <w:b w:val="0"/>
          <w:bCs/>
        </w:rPr>
        <w:t xml:space="preserve">SHV </w:t>
      </w:r>
      <w:r w:rsidR="00824783" w:rsidRPr="00824783">
        <w:rPr>
          <w:b w:val="0"/>
          <w:bCs/>
        </w:rPr>
        <w:t>partnerů</w:t>
      </w:r>
      <w:r w:rsidR="00824783">
        <w:rPr>
          <w:b w:val="0"/>
          <w:bCs/>
        </w:rPr>
        <w:t>,</w:t>
      </w:r>
    </w:p>
    <w:p w14:paraId="3CDB72D6" w14:textId="588015D9" w:rsidR="006B6A02" w:rsidRPr="00824783" w:rsidRDefault="00201F84" w:rsidP="00824783">
      <w:pPr>
        <w:pStyle w:val="Obrzek-nadpis"/>
        <w:numPr>
          <w:ilvl w:val="0"/>
          <w:numId w:val="11"/>
        </w:numPr>
        <w:spacing w:after="0" w:line="276" w:lineRule="auto"/>
        <w:contextualSpacing/>
        <w:rPr>
          <w:b w:val="0"/>
          <w:bCs/>
        </w:rPr>
      </w:pPr>
      <w:r w:rsidRPr="00824783">
        <w:t>Klima, energetika a doprava</w:t>
      </w:r>
      <w:r w:rsidRPr="00824783">
        <w:rPr>
          <w:b w:val="0"/>
          <w:bCs/>
        </w:rPr>
        <w:t xml:space="preserve"> – </w:t>
      </w:r>
      <w:r w:rsidR="00824783" w:rsidRPr="00824783">
        <w:rPr>
          <w:b w:val="0"/>
          <w:bCs/>
        </w:rPr>
        <w:t xml:space="preserve">26 % </w:t>
      </w:r>
      <w:r w:rsidR="0034133D" w:rsidRPr="00824783">
        <w:rPr>
          <w:b w:val="0"/>
          <w:bCs/>
        </w:rPr>
        <w:t>témat</w:t>
      </w:r>
      <w:r w:rsidR="0034133D">
        <w:rPr>
          <w:b w:val="0"/>
          <w:bCs/>
        </w:rPr>
        <w:t xml:space="preserve"> s vazbou na SHV</w:t>
      </w:r>
      <w:r w:rsidR="00824783" w:rsidRPr="00824783">
        <w:rPr>
          <w:b w:val="0"/>
          <w:bCs/>
        </w:rPr>
        <w:t xml:space="preserve">, 21 % </w:t>
      </w:r>
      <w:r w:rsidR="00824783">
        <w:rPr>
          <w:b w:val="0"/>
          <w:bCs/>
        </w:rPr>
        <w:t xml:space="preserve">SHV </w:t>
      </w:r>
      <w:r w:rsidR="00824783" w:rsidRPr="00824783">
        <w:rPr>
          <w:b w:val="0"/>
          <w:bCs/>
        </w:rPr>
        <w:t>partnerů</w:t>
      </w:r>
      <w:r w:rsidR="00824783">
        <w:rPr>
          <w:b w:val="0"/>
          <w:bCs/>
        </w:rPr>
        <w:t>,</w:t>
      </w:r>
    </w:p>
    <w:p w14:paraId="5A91C222" w14:textId="604584A3" w:rsidR="00623150" w:rsidRPr="00824783" w:rsidRDefault="00201F84" w:rsidP="00824783">
      <w:pPr>
        <w:pStyle w:val="Obrzek-nadpis"/>
        <w:numPr>
          <w:ilvl w:val="0"/>
          <w:numId w:val="11"/>
        </w:numPr>
        <w:spacing w:after="0" w:line="276" w:lineRule="auto"/>
        <w:contextualSpacing/>
        <w:rPr>
          <w:b w:val="0"/>
          <w:bCs/>
        </w:rPr>
      </w:pPr>
      <w:r w:rsidRPr="00824783">
        <w:t xml:space="preserve">Potraviny, </w:t>
      </w:r>
      <w:proofErr w:type="spellStart"/>
      <w:r w:rsidRPr="00824783">
        <w:t>bioekonomika</w:t>
      </w:r>
      <w:proofErr w:type="spellEnd"/>
      <w:r w:rsidRPr="00824783">
        <w:t>, přírodní zdroje, zemědělství a životní prostředí</w:t>
      </w:r>
      <w:r w:rsidRPr="00824783">
        <w:rPr>
          <w:b w:val="0"/>
          <w:bCs/>
        </w:rPr>
        <w:t xml:space="preserve"> – </w:t>
      </w:r>
      <w:r w:rsidR="00824783" w:rsidRPr="00824783">
        <w:rPr>
          <w:b w:val="0"/>
          <w:bCs/>
        </w:rPr>
        <w:t>47</w:t>
      </w:r>
      <w:r w:rsidR="00824783">
        <w:rPr>
          <w:b w:val="0"/>
          <w:bCs/>
        </w:rPr>
        <w:t> </w:t>
      </w:r>
      <w:r w:rsidR="00824783" w:rsidRPr="00824783">
        <w:rPr>
          <w:b w:val="0"/>
          <w:bCs/>
        </w:rPr>
        <w:t>%</w:t>
      </w:r>
      <w:r w:rsidR="00824783">
        <w:rPr>
          <w:b w:val="0"/>
          <w:bCs/>
        </w:rPr>
        <w:t> </w:t>
      </w:r>
      <w:r w:rsidR="0034133D" w:rsidRPr="00824783">
        <w:rPr>
          <w:b w:val="0"/>
          <w:bCs/>
        </w:rPr>
        <w:t>témat</w:t>
      </w:r>
      <w:r w:rsidR="0034133D">
        <w:rPr>
          <w:b w:val="0"/>
          <w:bCs/>
        </w:rPr>
        <w:t xml:space="preserve"> s vazbou na SHV</w:t>
      </w:r>
      <w:r w:rsidR="00824783" w:rsidRPr="00824783">
        <w:rPr>
          <w:b w:val="0"/>
          <w:bCs/>
        </w:rPr>
        <w:t xml:space="preserve">, 21 % </w:t>
      </w:r>
      <w:r w:rsidR="00824783">
        <w:rPr>
          <w:b w:val="0"/>
          <w:bCs/>
        </w:rPr>
        <w:t xml:space="preserve">SHV </w:t>
      </w:r>
      <w:r w:rsidR="00824783" w:rsidRPr="00824783">
        <w:rPr>
          <w:b w:val="0"/>
          <w:bCs/>
        </w:rPr>
        <w:t>partnerů.</w:t>
      </w:r>
    </w:p>
    <w:p w14:paraId="42D79DD4" w14:textId="6C62E397" w:rsidR="0034133D" w:rsidRDefault="00201F84" w:rsidP="006B6A02">
      <w:pPr>
        <w:jc w:val="both"/>
      </w:pPr>
      <w:r w:rsidRPr="00201F84">
        <w:br/>
      </w:r>
      <w:r w:rsidR="006B6A02" w:rsidRPr="00201F84">
        <w:t xml:space="preserve">Klastr 2 je plně SHV-orientovaný, </w:t>
      </w:r>
      <w:r w:rsidR="0034133D">
        <w:t>není však</w:t>
      </w:r>
      <w:r w:rsidR="006B6A02" w:rsidRPr="00201F84">
        <w:t xml:space="preserve"> jediným ani dominantním zdrojem příležitostí</w:t>
      </w:r>
      <w:r w:rsidR="009C0015">
        <w:t>. J</w:t>
      </w:r>
      <w:r w:rsidR="006B6A02">
        <w:t xml:space="preserve">ak je zřejmé z výše uvedeného procentuálního </w:t>
      </w:r>
      <w:r w:rsidR="000C338C">
        <w:t>vyjádření</w:t>
      </w:r>
      <w:r w:rsidR="006B6A02">
        <w:t xml:space="preserve">, </w:t>
      </w:r>
      <w:r w:rsidR="0061688F">
        <w:t xml:space="preserve">vazby na </w:t>
      </w:r>
      <w:r w:rsidRPr="00201F84">
        <w:t xml:space="preserve">SHV </w:t>
      </w:r>
      <w:r w:rsidR="0061688F">
        <w:t>mají i ve zbylých klastrech významné zastoupení.</w:t>
      </w:r>
      <w:r w:rsidRPr="00201F84">
        <w:t xml:space="preserve"> </w:t>
      </w:r>
    </w:p>
    <w:p w14:paraId="35735636" w14:textId="6F475AB8" w:rsidR="009C0015" w:rsidRPr="009C0015" w:rsidRDefault="009C0015" w:rsidP="006B6A02">
      <w:pPr>
        <w:jc w:val="both"/>
      </w:pPr>
      <w:r>
        <w:lastRenderedPageBreak/>
        <w:t>Z geografického pohledu lze konstatovat, že</w:t>
      </w:r>
      <w:r w:rsidR="001A0176">
        <w:t> </w:t>
      </w:r>
      <w:r>
        <w:t>Itálie</w:t>
      </w:r>
      <w:r w:rsidR="008A3D11">
        <w:t xml:space="preserve"> (11</w:t>
      </w:r>
      <w:r w:rsidR="001A0176">
        <w:t xml:space="preserve"> </w:t>
      </w:r>
      <w:r w:rsidR="008A3D11">
        <w:t>%)</w:t>
      </w:r>
      <w:r>
        <w:t>, Německo</w:t>
      </w:r>
      <w:r w:rsidR="008A3D11">
        <w:t xml:space="preserve"> (10 %)</w:t>
      </w:r>
      <w:r>
        <w:t>, Španělsko</w:t>
      </w:r>
      <w:r w:rsidR="008A3D11">
        <w:t xml:space="preserve"> (10</w:t>
      </w:r>
      <w:r w:rsidR="004B1184">
        <w:t> </w:t>
      </w:r>
      <w:r w:rsidR="008A3D11">
        <w:t>%)</w:t>
      </w:r>
      <w:r>
        <w:t>, Nizozemsko</w:t>
      </w:r>
      <w:r w:rsidR="008A3D11">
        <w:t xml:space="preserve"> (9 %)</w:t>
      </w:r>
      <w:r>
        <w:t xml:space="preserve">, Belgie </w:t>
      </w:r>
      <w:r w:rsidR="008A3D11">
        <w:t xml:space="preserve">(9 %) </w:t>
      </w:r>
      <w:r>
        <w:t xml:space="preserve">tvoří </w:t>
      </w:r>
      <w:r w:rsidR="008A3D11">
        <w:t>téměř</w:t>
      </w:r>
      <w:r>
        <w:t xml:space="preserve"> polovinu všech SHV účastí</w:t>
      </w:r>
      <w:r w:rsidR="0068716F">
        <w:t xml:space="preserve"> ve II. pilíři</w:t>
      </w:r>
      <w:r>
        <w:t>.</w:t>
      </w:r>
    </w:p>
    <w:p w14:paraId="23A7F880" w14:textId="00546E1F" w:rsidR="008A3D11" w:rsidRDefault="00F85064" w:rsidP="008A3D11">
      <w:pPr>
        <w:pStyle w:val="Obrzek-nadpis"/>
        <w:spacing w:before="240"/>
      </w:pPr>
      <w:r>
        <w:t>Podpora</w:t>
      </w:r>
      <w:r w:rsidR="008A3D11">
        <w:t xml:space="preserve"> SHV v </w:t>
      </w:r>
      <w:r w:rsidR="00C87EBC">
        <w:t>ostatních</w:t>
      </w:r>
      <w:r w:rsidR="008A3D11">
        <w:t xml:space="preserve"> </w:t>
      </w:r>
      <w:r w:rsidR="0081209C">
        <w:t>částech</w:t>
      </w:r>
      <w:r w:rsidR="008A3D11">
        <w:t xml:space="preserve"> Horizontu Evropa</w:t>
      </w:r>
    </w:p>
    <w:p w14:paraId="326C6CCF" w14:textId="13193C09" w:rsidR="006B6A02" w:rsidRPr="005D7C6F" w:rsidRDefault="005D7C6F" w:rsidP="007A7464">
      <w:pPr>
        <w:pStyle w:val="Obrzek-nadpis"/>
        <w:spacing w:before="240"/>
        <w:rPr>
          <w:b w:val="0"/>
          <w:bCs/>
        </w:rPr>
      </w:pPr>
      <w:r>
        <w:rPr>
          <w:b w:val="0"/>
          <w:bCs/>
        </w:rPr>
        <w:t>I.</w:t>
      </w:r>
      <w:r w:rsidRPr="005D7C6F">
        <w:rPr>
          <w:b w:val="0"/>
          <w:bCs/>
        </w:rPr>
        <w:t xml:space="preserve"> p</w:t>
      </w:r>
      <w:r w:rsidR="007A7464" w:rsidRPr="005D7C6F">
        <w:rPr>
          <w:b w:val="0"/>
          <w:bCs/>
        </w:rPr>
        <w:t>ilíř</w:t>
      </w:r>
      <w:r w:rsidRPr="005D7C6F">
        <w:rPr>
          <w:b w:val="0"/>
          <w:bCs/>
        </w:rPr>
        <w:t xml:space="preserve"> Horizontu Evropa –</w:t>
      </w:r>
      <w:r w:rsidR="00E177F4" w:rsidRPr="005D7C6F">
        <w:rPr>
          <w:b w:val="0"/>
          <w:bCs/>
        </w:rPr>
        <w:t xml:space="preserve"> Vynikající věda</w:t>
      </w:r>
      <w:r w:rsidRPr="005D7C6F">
        <w:rPr>
          <w:b w:val="0"/>
          <w:bCs/>
        </w:rPr>
        <w:t xml:space="preserve"> </w:t>
      </w:r>
      <w:r w:rsidR="0081209C">
        <w:rPr>
          <w:b w:val="0"/>
          <w:bCs/>
        </w:rPr>
        <w:t>tvoří</w:t>
      </w:r>
      <w:r w:rsidRPr="005D7C6F">
        <w:rPr>
          <w:b w:val="0"/>
          <w:bCs/>
        </w:rPr>
        <w:t xml:space="preserve"> </w:t>
      </w:r>
      <w:r w:rsidRPr="005D7C6F">
        <w:rPr>
          <w:b w:val="0"/>
          <w:bCs/>
          <w:i/>
          <w:iCs/>
        </w:rPr>
        <w:t>Evropská rada pro výzkum</w:t>
      </w:r>
      <w:r>
        <w:rPr>
          <w:b w:val="0"/>
          <w:bCs/>
        </w:rPr>
        <w:t xml:space="preserve"> (ERC)</w:t>
      </w:r>
      <w:r w:rsidRPr="005D7C6F">
        <w:rPr>
          <w:b w:val="0"/>
          <w:bCs/>
        </w:rPr>
        <w:t xml:space="preserve">, </w:t>
      </w:r>
      <w:r w:rsidRPr="005D7C6F">
        <w:rPr>
          <w:b w:val="0"/>
          <w:bCs/>
          <w:i/>
          <w:iCs/>
        </w:rPr>
        <w:t xml:space="preserve">Akce Marie </w:t>
      </w:r>
      <w:proofErr w:type="spellStart"/>
      <w:r w:rsidRPr="005D7C6F">
        <w:rPr>
          <w:b w:val="0"/>
          <w:bCs/>
          <w:i/>
          <w:iCs/>
        </w:rPr>
        <w:t>Skłodowska</w:t>
      </w:r>
      <w:proofErr w:type="spellEnd"/>
      <w:r w:rsidRPr="005D7C6F">
        <w:rPr>
          <w:b w:val="0"/>
          <w:bCs/>
          <w:i/>
          <w:iCs/>
        </w:rPr>
        <w:t>-Curie</w:t>
      </w:r>
      <w:r>
        <w:rPr>
          <w:b w:val="0"/>
          <w:bCs/>
        </w:rPr>
        <w:t xml:space="preserve"> (MSCA) a výzkumné infrastruktury.</w:t>
      </w:r>
    </w:p>
    <w:p w14:paraId="615EF1B4" w14:textId="35094F36" w:rsidR="005D7C6F" w:rsidRDefault="005D7C6F" w:rsidP="00BB15A2">
      <w:pPr>
        <w:jc w:val="both"/>
      </w:pPr>
      <w:r>
        <w:t xml:space="preserve">ERC granty sice nestanovují </w:t>
      </w:r>
      <w:r w:rsidR="00F85064">
        <w:t>interdisciplinaritu</w:t>
      </w:r>
      <w:r>
        <w:t xml:space="preserve"> s SHV jako prioritní oblast financování ani</w:t>
      </w:r>
      <w:r w:rsidR="0068716F">
        <w:t> </w:t>
      </w:r>
      <w:r>
        <w:t xml:space="preserve">hodnoticí kritérium, přesto je pro ně typická, zejména v případě </w:t>
      </w:r>
      <w:r w:rsidRPr="005D7C6F">
        <w:rPr>
          <w:i/>
          <w:iCs/>
        </w:rPr>
        <w:t xml:space="preserve">ERC </w:t>
      </w:r>
      <w:proofErr w:type="spellStart"/>
      <w:r w:rsidRPr="005D7C6F">
        <w:rPr>
          <w:i/>
          <w:iCs/>
        </w:rPr>
        <w:t>Synergy</w:t>
      </w:r>
      <w:proofErr w:type="spellEnd"/>
      <w:r w:rsidRPr="005D7C6F">
        <w:rPr>
          <w:i/>
          <w:iCs/>
        </w:rPr>
        <w:t xml:space="preserve"> grant</w:t>
      </w:r>
      <w:r>
        <w:rPr>
          <w:i/>
          <w:iCs/>
        </w:rPr>
        <w:t>ů</w:t>
      </w:r>
      <w:r>
        <w:t xml:space="preserve">. </w:t>
      </w:r>
      <w:r w:rsidRPr="005D7C6F">
        <w:t>Na</w:t>
      </w:r>
      <w:r>
        <w:t> </w:t>
      </w:r>
      <w:r w:rsidRPr="005D7C6F">
        <w:t xml:space="preserve">základě </w:t>
      </w:r>
      <w:r>
        <w:t>analýzy</w:t>
      </w:r>
      <w:r w:rsidRPr="005D7C6F">
        <w:t xml:space="preserve"> 129 </w:t>
      </w:r>
      <w:r w:rsidR="0068716F">
        <w:t>grantů</w:t>
      </w:r>
      <w:r w:rsidR="0068716F" w:rsidRPr="005D7C6F">
        <w:t xml:space="preserve"> </w:t>
      </w:r>
      <w:r>
        <w:t xml:space="preserve">tohoto typu </w:t>
      </w:r>
      <w:r w:rsidRPr="005D7C6F">
        <w:t xml:space="preserve">financovaných v letech 2022–2024 má 14 % </w:t>
      </w:r>
      <w:r>
        <w:t xml:space="preserve">z nich </w:t>
      </w:r>
      <w:r w:rsidRPr="005D7C6F">
        <w:t xml:space="preserve">propojení </w:t>
      </w:r>
      <w:r>
        <w:t>s SHV.</w:t>
      </w:r>
    </w:p>
    <w:p w14:paraId="0A4503C6" w14:textId="3FCDFB83" w:rsidR="00BB15A2" w:rsidRPr="00BB15A2" w:rsidRDefault="005D7C6F" w:rsidP="00BB15A2">
      <w:pPr>
        <w:pStyle w:val="Obrzek-nadpis"/>
        <w:spacing w:before="240" w:line="276" w:lineRule="auto"/>
        <w:rPr>
          <w:b w:val="0"/>
          <w:bCs/>
        </w:rPr>
      </w:pPr>
      <w:r w:rsidRPr="005D7C6F">
        <w:rPr>
          <w:b w:val="0"/>
          <w:bCs/>
        </w:rPr>
        <w:t>MSCA</w:t>
      </w:r>
      <w:r w:rsidR="00BB15A2">
        <w:rPr>
          <w:b w:val="0"/>
          <w:bCs/>
        </w:rPr>
        <w:t xml:space="preserve"> sestávají z</w:t>
      </w:r>
      <w:r>
        <w:rPr>
          <w:b w:val="0"/>
          <w:bCs/>
        </w:rPr>
        <w:t>e</w:t>
      </w:r>
      <w:r w:rsidR="00BB15A2">
        <w:rPr>
          <w:b w:val="0"/>
          <w:bCs/>
        </w:rPr>
        <w:t xml:space="preserve"> tří typů grantů: </w:t>
      </w:r>
      <w:r w:rsidR="00BB15A2" w:rsidRPr="00BB15A2">
        <w:rPr>
          <w:b w:val="0"/>
          <w:bCs/>
        </w:rPr>
        <w:t xml:space="preserve">MSCA individuální granty pro </w:t>
      </w:r>
      <w:proofErr w:type="spellStart"/>
      <w:r w:rsidR="00BB15A2" w:rsidRPr="00BB15A2">
        <w:rPr>
          <w:b w:val="0"/>
          <w:bCs/>
        </w:rPr>
        <w:t>postdoktorandy</w:t>
      </w:r>
      <w:proofErr w:type="spellEnd"/>
      <w:r w:rsidR="00BB15A2">
        <w:rPr>
          <w:b w:val="0"/>
          <w:bCs/>
        </w:rPr>
        <w:t xml:space="preserve"> (PF), </w:t>
      </w:r>
      <w:r w:rsidR="00BB15A2" w:rsidRPr="00BB15A2">
        <w:rPr>
          <w:b w:val="0"/>
          <w:bCs/>
        </w:rPr>
        <w:t>MSCA sítě pro doktorandy (DN</w:t>
      </w:r>
      <w:r w:rsidR="00BB15A2">
        <w:rPr>
          <w:b w:val="0"/>
          <w:bCs/>
        </w:rPr>
        <w:t xml:space="preserve">) a </w:t>
      </w:r>
      <w:r w:rsidR="00BB15A2" w:rsidRPr="00BB15A2">
        <w:rPr>
          <w:b w:val="0"/>
          <w:bCs/>
        </w:rPr>
        <w:t>MSCA výměnné pobyty</w:t>
      </w:r>
      <w:r w:rsidR="00BB15A2">
        <w:rPr>
          <w:b w:val="0"/>
          <w:bCs/>
        </w:rPr>
        <w:t xml:space="preserve"> (SE), </w:t>
      </w:r>
      <w:r w:rsidR="00BB15A2" w:rsidRPr="00BB15A2">
        <w:rPr>
          <w:b w:val="0"/>
        </w:rPr>
        <w:t>které financují výzkumné projekty a</w:t>
      </w:r>
      <w:r>
        <w:rPr>
          <w:b w:val="0"/>
        </w:rPr>
        <w:t> </w:t>
      </w:r>
      <w:r w:rsidR="00BB15A2" w:rsidRPr="00BB15A2">
        <w:rPr>
          <w:b w:val="0"/>
        </w:rPr>
        <w:t>jsou rozděleny do dvou specifických panelů: SOC (společenské a humanitní vědy) a ECO (ekonomické vědy). V letech 2021</w:t>
      </w:r>
      <w:r w:rsidR="00BB15A2">
        <w:rPr>
          <w:b w:val="0"/>
        </w:rPr>
        <w:t>–</w:t>
      </w:r>
      <w:r w:rsidR="00BB15A2" w:rsidRPr="00BB15A2">
        <w:rPr>
          <w:b w:val="0"/>
        </w:rPr>
        <w:t>2023 bylo financováno 1071</w:t>
      </w:r>
      <w:r w:rsidR="00CF479A">
        <w:rPr>
          <w:b w:val="0"/>
        </w:rPr>
        <w:t> </w:t>
      </w:r>
      <w:r w:rsidR="00BB15A2" w:rsidRPr="00BB15A2">
        <w:rPr>
          <w:b w:val="0"/>
        </w:rPr>
        <w:t>z</w:t>
      </w:r>
      <w:r w:rsidR="00BB15A2">
        <w:rPr>
          <w:b w:val="0"/>
        </w:rPr>
        <w:t> </w:t>
      </w:r>
      <w:r w:rsidR="00BB15A2" w:rsidRPr="00BB15A2">
        <w:rPr>
          <w:b w:val="0"/>
        </w:rPr>
        <w:t>celkových 4428 projektů, které spadají do oblasti S</w:t>
      </w:r>
      <w:r w:rsidR="00BB15A2">
        <w:rPr>
          <w:b w:val="0"/>
        </w:rPr>
        <w:t>HV</w:t>
      </w:r>
      <w:r w:rsidR="00BB15A2" w:rsidRPr="00BB15A2">
        <w:rPr>
          <w:b w:val="0"/>
        </w:rPr>
        <w:t>, což představuje 24,2 % všech projektů PF/DN/SE financovaných v rámci MSCA</w:t>
      </w:r>
      <w:r w:rsidR="00BB15A2">
        <w:rPr>
          <w:b w:val="0"/>
        </w:rPr>
        <w:t>.</w:t>
      </w:r>
      <w:r w:rsidR="00BB15A2">
        <w:rPr>
          <w:b w:val="0"/>
          <w:bCs/>
        </w:rPr>
        <w:t xml:space="preserve"> </w:t>
      </w:r>
      <w:r w:rsidR="00BB15A2" w:rsidRPr="00BB15A2">
        <w:rPr>
          <w:b w:val="0"/>
        </w:rPr>
        <w:t xml:space="preserve">Z hlediska konkrétních typů akcí jsou </w:t>
      </w:r>
      <w:r w:rsidR="00BB15A2">
        <w:rPr>
          <w:b w:val="0"/>
        </w:rPr>
        <w:t xml:space="preserve">SHV </w:t>
      </w:r>
      <w:r w:rsidR="00BB15A2" w:rsidRPr="00BB15A2">
        <w:rPr>
          <w:b w:val="0"/>
        </w:rPr>
        <w:t>nejvíce zastoupeny v</w:t>
      </w:r>
      <w:r w:rsidR="00BB15A2">
        <w:rPr>
          <w:b w:val="0"/>
        </w:rPr>
        <w:t xml:space="preserve"> PF </w:t>
      </w:r>
      <w:r w:rsidR="00BB15A2" w:rsidRPr="00BB15A2">
        <w:rPr>
          <w:b w:val="0"/>
        </w:rPr>
        <w:t>s podílem 26 %</w:t>
      </w:r>
      <w:r w:rsidR="00BB15A2">
        <w:rPr>
          <w:b w:val="0"/>
        </w:rPr>
        <w:t>.</w:t>
      </w:r>
    </w:p>
    <w:p w14:paraId="079C2D46" w14:textId="4C330974" w:rsidR="00BB15A2" w:rsidRDefault="00BB15A2" w:rsidP="00BB15A2">
      <w:pPr>
        <w:pStyle w:val="Obrzek-nadpis"/>
        <w:spacing w:before="240"/>
        <w:jc w:val="center"/>
        <w:rPr>
          <w:b w:val="0"/>
          <w:bCs/>
        </w:rPr>
      </w:pPr>
      <w:r w:rsidRPr="00BB15A2">
        <w:rPr>
          <w:b w:val="0"/>
          <w:bCs/>
          <w:noProof/>
        </w:rPr>
        <w:drawing>
          <wp:inline distT="0" distB="0" distL="0" distR="0" wp14:anchorId="5CFE7CB5" wp14:editId="4CD1D872">
            <wp:extent cx="4352925" cy="1616589"/>
            <wp:effectExtent l="0" t="0" r="0" b="3175"/>
            <wp:docPr id="635636344" name="Obrázek 1" descr="Obsah obrázku text, řada/pruh, snímek obrazovky, Vykreslený graf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636344" name="Obrázek 1" descr="Obsah obrázku text, řada/pruh, snímek obrazovky, Vykreslený graf&#10;&#10;Obsah generovaný pomocí AI může být nesprávný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7435" cy="1621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123AE" w14:textId="78FEA17D" w:rsidR="00BB15A2" w:rsidRPr="00BB15A2" w:rsidRDefault="00BB15A2" w:rsidP="007A7464">
      <w:pPr>
        <w:pStyle w:val="Obrzek-nadpis"/>
        <w:spacing w:before="240"/>
        <w:rPr>
          <w:b w:val="0"/>
          <w:bCs/>
          <w:i/>
          <w:iCs/>
          <w:sz w:val="20"/>
          <w:szCs w:val="22"/>
        </w:rPr>
      </w:pPr>
      <w:r w:rsidRPr="00BB15A2">
        <w:rPr>
          <w:b w:val="0"/>
          <w:bCs/>
          <w:i/>
          <w:iCs/>
          <w:sz w:val="20"/>
          <w:szCs w:val="22"/>
        </w:rPr>
        <w:t xml:space="preserve">Zdroj: </w:t>
      </w:r>
      <w:proofErr w:type="spellStart"/>
      <w:r w:rsidRPr="00BB15A2">
        <w:rPr>
          <w:b w:val="0"/>
          <w:bCs/>
          <w:i/>
          <w:iCs/>
          <w:sz w:val="20"/>
          <w:szCs w:val="22"/>
        </w:rPr>
        <w:t>Integration</w:t>
      </w:r>
      <w:proofErr w:type="spellEnd"/>
      <w:r w:rsidRPr="00BB15A2">
        <w:rPr>
          <w:b w:val="0"/>
          <w:bCs/>
          <w:i/>
          <w:iCs/>
          <w:sz w:val="20"/>
          <w:szCs w:val="22"/>
        </w:rPr>
        <w:t xml:space="preserve"> </w:t>
      </w:r>
      <w:proofErr w:type="spellStart"/>
      <w:r w:rsidRPr="00BB15A2">
        <w:rPr>
          <w:b w:val="0"/>
          <w:bCs/>
          <w:i/>
          <w:iCs/>
          <w:sz w:val="20"/>
          <w:szCs w:val="22"/>
        </w:rPr>
        <w:t>of</w:t>
      </w:r>
      <w:proofErr w:type="spellEnd"/>
      <w:r w:rsidRPr="00BB15A2">
        <w:rPr>
          <w:b w:val="0"/>
          <w:bCs/>
          <w:i/>
          <w:iCs/>
          <w:sz w:val="20"/>
          <w:szCs w:val="22"/>
        </w:rPr>
        <w:t xml:space="preserve"> </w:t>
      </w:r>
      <w:proofErr w:type="spellStart"/>
      <w:r w:rsidRPr="00BB15A2">
        <w:rPr>
          <w:b w:val="0"/>
          <w:bCs/>
          <w:i/>
          <w:iCs/>
          <w:sz w:val="20"/>
          <w:szCs w:val="22"/>
        </w:rPr>
        <w:t>Social</w:t>
      </w:r>
      <w:proofErr w:type="spellEnd"/>
      <w:r w:rsidRPr="00BB15A2">
        <w:rPr>
          <w:b w:val="0"/>
          <w:bCs/>
          <w:i/>
          <w:iCs/>
          <w:sz w:val="20"/>
          <w:szCs w:val="22"/>
        </w:rPr>
        <w:t xml:space="preserve"> </w:t>
      </w:r>
      <w:proofErr w:type="spellStart"/>
      <w:r w:rsidRPr="00BB15A2">
        <w:rPr>
          <w:b w:val="0"/>
          <w:bCs/>
          <w:i/>
          <w:iCs/>
          <w:sz w:val="20"/>
          <w:szCs w:val="22"/>
        </w:rPr>
        <w:t>Sciences</w:t>
      </w:r>
      <w:proofErr w:type="spellEnd"/>
      <w:r w:rsidRPr="00BB15A2">
        <w:rPr>
          <w:b w:val="0"/>
          <w:bCs/>
          <w:i/>
          <w:iCs/>
          <w:sz w:val="20"/>
          <w:szCs w:val="22"/>
        </w:rPr>
        <w:t xml:space="preserve"> and </w:t>
      </w:r>
      <w:proofErr w:type="spellStart"/>
      <w:r w:rsidRPr="00BB15A2">
        <w:rPr>
          <w:b w:val="0"/>
          <w:bCs/>
          <w:i/>
          <w:iCs/>
          <w:sz w:val="20"/>
          <w:szCs w:val="22"/>
        </w:rPr>
        <w:t>Humanities</w:t>
      </w:r>
      <w:proofErr w:type="spellEnd"/>
      <w:r w:rsidRPr="00BB15A2">
        <w:rPr>
          <w:b w:val="0"/>
          <w:bCs/>
          <w:i/>
          <w:iCs/>
          <w:sz w:val="20"/>
          <w:szCs w:val="22"/>
        </w:rPr>
        <w:t xml:space="preserve"> (SSH) in Horizon </w:t>
      </w:r>
      <w:proofErr w:type="spellStart"/>
      <w:r w:rsidRPr="00BB15A2">
        <w:rPr>
          <w:b w:val="0"/>
          <w:bCs/>
          <w:i/>
          <w:iCs/>
          <w:sz w:val="20"/>
          <w:szCs w:val="22"/>
        </w:rPr>
        <w:t>Europe</w:t>
      </w:r>
      <w:proofErr w:type="spellEnd"/>
      <w:r>
        <w:rPr>
          <w:b w:val="0"/>
          <w:bCs/>
          <w:i/>
          <w:iCs/>
          <w:sz w:val="20"/>
          <w:szCs w:val="22"/>
        </w:rPr>
        <w:t>, 2025</w:t>
      </w:r>
    </w:p>
    <w:p w14:paraId="31DA6B7E" w14:textId="571078C3" w:rsidR="007F2EEF" w:rsidRPr="007F2EEF" w:rsidRDefault="007F2EEF" w:rsidP="00BB15A2">
      <w:pPr>
        <w:pStyle w:val="Obrzek-nadpis"/>
        <w:spacing w:before="240" w:line="276" w:lineRule="auto"/>
        <w:rPr>
          <w:b w:val="0"/>
          <w:bCs/>
        </w:rPr>
      </w:pPr>
      <w:r w:rsidRPr="007F2EEF">
        <w:rPr>
          <w:b w:val="0"/>
          <w:bCs/>
        </w:rPr>
        <w:t>Projekty výzkumných infrastruktur se zaměřují na budování vědeckých služeb, nikoli na</w:t>
      </w:r>
      <w:r>
        <w:rPr>
          <w:b w:val="0"/>
          <w:bCs/>
        </w:rPr>
        <w:t> </w:t>
      </w:r>
      <w:r w:rsidRPr="007F2EEF">
        <w:rPr>
          <w:b w:val="0"/>
          <w:bCs/>
        </w:rPr>
        <w:t>samotný výzkum. Integrace SHV je</w:t>
      </w:r>
      <w:r>
        <w:rPr>
          <w:b w:val="0"/>
          <w:bCs/>
        </w:rPr>
        <w:t xml:space="preserve"> sice</w:t>
      </w:r>
      <w:r w:rsidRPr="007F2EEF">
        <w:rPr>
          <w:b w:val="0"/>
          <w:bCs/>
        </w:rPr>
        <w:t xml:space="preserve"> omezená, ale </w:t>
      </w:r>
      <w:r>
        <w:rPr>
          <w:b w:val="0"/>
          <w:bCs/>
        </w:rPr>
        <w:t xml:space="preserve">také zde </w:t>
      </w:r>
      <w:r w:rsidRPr="007F2EEF">
        <w:rPr>
          <w:b w:val="0"/>
          <w:bCs/>
        </w:rPr>
        <w:t>existují příklady projektů, které přispívají k</w:t>
      </w:r>
      <w:r>
        <w:rPr>
          <w:b w:val="0"/>
          <w:bCs/>
        </w:rPr>
        <w:t> </w:t>
      </w:r>
      <w:r w:rsidRPr="007F2EEF">
        <w:rPr>
          <w:b w:val="0"/>
          <w:bCs/>
        </w:rPr>
        <w:t>rozvoji SHV</w:t>
      </w:r>
      <w:r>
        <w:rPr>
          <w:b w:val="0"/>
          <w:bCs/>
        </w:rPr>
        <w:t xml:space="preserve">. </w:t>
      </w:r>
      <w:r w:rsidRPr="0095648B">
        <w:rPr>
          <w:b w:val="0"/>
          <w:bCs/>
          <w:i/>
          <w:iCs/>
        </w:rPr>
        <w:t>Evropské strategické fórum pro výzkumné infrastruktury</w:t>
      </w:r>
      <w:r w:rsidRPr="007F2EEF">
        <w:rPr>
          <w:b w:val="0"/>
          <w:bCs/>
        </w:rPr>
        <w:t xml:space="preserve"> (ESFRI) </w:t>
      </w:r>
      <w:r>
        <w:rPr>
          <w:b w:val="0"/>
          <w:bCs/>
        </w:rPr>
        <w:t xml:space="preserve">definuje tematickou doménu </w:t>
      </w:r>
      <w:proofErr w:type="spellStart"/>
      <w:r w:rsidRPr="007F2EEF">
        <w:rPr>
          <w:b w:val="0"/>
          <w:bCs/>
          <w:i/>
          <w:iCs/>
        </w:rPr>
        <w:t>Social</w:t>
      </w:r>
      <w:proofErr w:type="spellEnd"/>
      <w:r w:rsidRPr="007F2EEF">
        <w:rPr>
          <w:b w:val="0"/>
          <w:bCs/>
          <w:i/>
          <w:iCs/>
        </w:rPr>
        <w:t xml:space="preserve"> &amp; </w:t>
      </w:r>
      <w:proofErr w:type="spellStart"/>
      <w:r w:rsidRPr="007F2EEF">
        <w:rPr>
          <w:b w:val="0"/>
          <w:bCs/>
          <w:i/>
          <w:iCs/>
        </w:rPr>
        <w:t>Cultural</w:t>
      </w:r>
      <w:proofErr w:type="spellEnd"/>
      <w:r w:rsidRPr="007F2EEF">
        <w:rPr>
          <w:b w:val="0"/>
          <w:bCs/>
          <w:i/>
          <w:iCs/>
        </w:rPr>
        <w:t xml:space="preserve"> Innovation</w:t>
      </w:r>
      <w:r>
        <w:rPr>
          <w:b w:val="0"/>
          <w:bCs/>
        </w:rPr>
        <w:t xml:space="preserve">. Na </w:t>
      </w:r>
      <w:hyperlink r:id="rId19" w:history="1">
        <w:r w:rsidRPr="007F2EEF">
          <w:rPr>
            <w:rStyle w:val="Hypertextovodkaz"/>
            <w:b w:val="0"/>
            <w:bCs/>
          </w:rPr>
          <w:t xml:space="preserve">ESFRI </w:t>
        </w:r>
        <w:proofErr w:type="spellStart"/>
        <w:r w:rsidRPr="007F2EEF">
          <w:rPr>
            <w:rStyle w:val="Hypertextovodkaz"/>
            <w:b w:val="0"/>
            <w:bCs/>
          </w:rPr>
          <w:t>Roadmap</w:t>
        </w:r>
        <w:proofErr w:type="spellEnd"/>
      </w:hyperlink>
      <w:r>
        <w:rPr>
          <w:b w:val="0"/>
          <w:bCs/>
        </w:rPr>
        <w:t xml:space="preserve"> v rámci této domény nalezneme aktuálně 11 </w:t>
      </w:r>
      <w:r w:rsidR="0095648B" w:rsidRPr="009D13D5">
        <w:rPr>
          <w:b w:val="0"/>
          <w:bCs/>
          <w:i/>
          <w:iCs/>
        </w:rPr>
        <w:t xml:space="preserve">ESFRI </w:t>
      </w:r>
      <w:proofErr w:type="spellStart"/>
      <w:r w:rsidR="0095648B" w:rsidRPr="009D13D5">
        <w:rPr>
          <w:b w:val="0"/>
          <w:bCs/>
          <w:i/>
          <w:iCs/>
        </w:rPr>
        <w:t>Landmarks</w:t>
      </w:r>
      <w:proofErr w:type="spellEnd"/>
      <w:r w:rsidR="00285DDF">
        <w:rPr>
          <w:b w:val="0"/>
          <w:bCs/>
        </w:rPr>
        <w:t xml:space="preserve">, na </w:t>
      </w:r>
      <w:hyperlink r:id="rId20" w:history="1">
        <w:r w:rsidR="00285DDF" w:rsidRPr="00285DDF">
          <w:rPr>
            <w:rStyle w:val="Hypertextovodkaz"/>
            <w:b w:val="0"/>
            <w:bCs/>
          </w:rPr>
          <w:t>Cestovní mapě velkých výzkumných infrastruktur ČR</w:t>
        </w:r>
      </w:hyperlink>
      <w:r w:rsidR="00285DDF">
        <w:rPr>
          <w:b w:val="0"/>
          <w:bCs/>
        </w:rPr>
        <w:t xml:space="preserve"> </w:t>
      </w:r>
      <w:r w:rsidR="0095648B">
        <w:rPr>
          <w:b w:val="0"/>
          <w:bCs/>
        </w:rPr>
        <w:t xml:space="preserve">v oblasti SHV </w:t>
      </w:r>
      <w:r w:rsidR="00285DDF">
        <w:rPr>
          <w:b w:val="0"/>
          <w:bCs/>
        </w:rPr>
        <w:t>aktuálně 8 velkých výzkumných infrastruktur.</w:t>
      </w:r>
    </w:p>
    <w:p w14:paraId="1BD1415A" w14:textId="0AD00020" w:rsidR="00CB5AAC" w:rsidRDefault="0081209C" w:rsidP="005D7C6F">
      <w:pPr>
        <w:pStyle w:val="Obrzek-nadpis"/>
        <w:spacing w:before="240" w:line="276" w:lineRule="auto"/>
        <w:rPr>
          <w:b w:val="0"/>
          <w:bCs/>
        </w:rPr>
        <w:sectPr w:rsidR="00CB5AAC" w:rsidSect="002E1549">
          <w:headerReference w:type="default" r:id="rId21"/>
          <w:footerReference w:type="default" r:id="rId22"/>
          <w:pgSz w:w="11906" w:h="16838" w:code="9"/>
          <w:pgMar w:top="1276" w:right="1417" w:bottom="1417" w:left="1417" w:header="709" w:footer="709" w:gutter="0"/>
          <w:cols w:space="708"/>
          <w:docGrid w:linePitch="360"/>
        </w:sectPr>
      </w:pPr>
      <w:r>
        <w:rPr>
          <w:b w:val="0"/>
          <w:bCs/>
        </w:rPr>
        <w:t>SHV</w:t>
      </w:r>
      <w:r w:rsidR="007C7CE9">
        <w:rPr>
          <w:b w:val="0"/>
          <w:bCs/>
        </w:rPr>
        <w:t xml:space="preserve"> jsou </w:t>
      </w:r>
      <w:r>
        <w:rPr>
          <w:b w:val="0"/>
          <w:bCs/>
        </w:rPr>
        <w:t xml:space="preserve">dále </w:t>
      </w:r>
      <w:r w:rsidR="000C1FAA">
        <w:rPr>
          <w:b w:val="0"/>
          <w:bCs/>
        </w:rPr>
        <w:t>přítomny</w:t>
      </w:r>
      <w:r w:rsidR="007C7CE9">
        <w:rPr>
          <w:b w:val="0"/>
          <w:bCs/>
        </w:rPr>
        <w:t xml:space="preserve"> v</w:t>
      </w:r>
      <w:r>
        <w:rPr>
          <w:b w:val="0"/>
          <w:bCs/>
        </w:rPr>
        <w:t> </w:t>
      </w:r>
      <w:r w:rsidR="007C7CE9">
        <w:rPr>
          <w:b w:val="0"/>
          <w:bCs/>
        </w:rPr>
        <w:t>část</w:t>
      </w:r>
      <w:r>
        <w:rPr>
          <w:b w:val="0"/>
          <w:bCs/>
        </w:rPr>
        <w:t xml:space="preserve">i </w:t>
      </w:r>
      <w:r w:rsidRPr="0081209C">
        <w:rPr>
          <w:b w:val="0"/>
          <w:bCs/>
          <w:i/>
          <w:iCs/>
        </w:rPr>
        <w:t>WIDERA</w:t>
      </w:r>
      <w:r>
        <w:rPr>
          <w:b w:val="0"/>
          <w:bCs/>
        </w:rPr>
        <w:t xml:space="preserve"> (</w:t>
      </w:r>
      <w:r w:rsidRPr="0081209C">
        <w:rPr>
          <w:b w:val="0"/>
          <w:bCs/>
        </w:rPr>
        <w:t>Rozšiřování účasti a posilování E</w:t>
      </w:r>
      <w:r w:rsidR="0068716F">
        <w:rPr>
          <w:b w:val="0"/>
          <w:bCs/>
        </w:rPr>
        <w:t>vropského výzkumného prostoru</w:t>
      </w:r>
      <w:r>
        <w:rPr>
          <w:b w:val="0"/>
          <w:bCs/>
          <w:i/>
          <w:iCs/>
        </w:rPr>
        <w:t>)</w:t>
      </w:r>
      <w:r>
        <w:rPr>
          <w:b w:val="0"/>
          <w:bCs/>
        </w:rPr>
        <w:t>.</w:t>
      </w:r>
      <w:r w:rsidR="000C1FAA">
        <w:rPr>
          <w:b w:val="0"/>
          <w:bCs/>
        </w:rPr>
        <w:t xml:space="preserve"> </w:t>
      </w:r>
      <w:r w:rsidR="000C1FAA" w:rsidRPr="000C1FAA">
        <w:rPr>
          <w:b w:val="0"/>
          <w:bCs/>
        </w:rPr>
        <w:t>Odhadovaný podíl se</w:t>
      </w:r>
      <w:r w:rsidR="00EE6786">
        <w:rPr>
          <w:b w:val="0"/>
          <w:bCs/>
        </w:rPr>
        <w:t xml:space="preserve"> zde</w:t>
      </w:r>
      <w:r w:rsidR="000C1FAA" w:rsidRPr="000C1FAA">
        <w:rPr>
          <w:b w:val="0"/>
          <w:bCs/>
        </w:rPr>
        <w:t xml:space="preserve"> pohybuje mezi 14 % až 21 % (průměrně </w:t>
      </w:r>
      <w:r w:rsidR="000C1FAA">
        <w:rPr>
          <w:b w:val="0"/>
          <w:bCs/>
        </w:rPr>
        <w:t xml:space="preserve">tedy </w:t>
      </w:r>
      <w:r w:rsidR="000C1FAA" w:rsidRPr="000C1FAA">
        <w:rPr>
          <w:b w:val="0"/>
          <w:bCs/>
        </w:rPr>
        <w:t>18 %). Je třeba poznamenat, že</w:t>
      </w:r>
      <w:r w:rsidR="00EE6786">
        <w:rPr>
          <w:b w:val="0"/>
          <w:bCs/>
        </w:rPr>
        <w:t> </w:t>
      </w:r>
      <w:r w:rsidR="000C1FAA" w:rsidRPr="000C1FAA">
        <w:rPr>
          <w:b w:val="0"/>
          <w:bCs/>
        </w:rPr>
        <w:t xml:space="preserve">většina </w:t>
      </w:r>
      <w:r w:rsidR="00EE6786">
        <w:rPr>
          <w:b w:val="0"/>
          <w:bCs/>
        </w:rPr>
        <w:t>dotčených</w:t>
      </w:r>
      <w:r w:rsidR="000C1FAA" w:rsidRPr="000C1FAA">
        <w:rPr>
          <w:b w:val="0"/>
          <w:bCs/>
        </w:rPr>
        <w:t xml:space="preserve"> témat spadá do</w:t>
      </w:r>
      <w:r w:rsidR="000C1FAA">
        <w:rPr>
          <w:b w:val="0"/>
          <w:bCs/>
        </w:rPr>
        <w:t> </w:t>
      </w:r>
      <w:r w:rsidR="000C1FAA" w:rsidRPr="000C1FAA">
        <w:rPr>
          <w:b w:val="0"/>
          <w:bCs/>
        </w:rPr>
        <w:t>tzv.</w:t>
      </w:r>
      <w:r w:rsidR="000C1FAA">
        <w:rPr>
          <w:b w:val="0"/>
          <w:bCs/>
        </w:rPr>
        <w:t> </w:t>
      </w:r>
      <w:r w:rsidR="000C1FAA" w:rsidRPr="000C1FAA">
        <w:rPr>
          <w:b w:val="0"/>
          <w:bCs/>
        </w:rPr>
        <w:t>koordinačních a</w:t>
      </w:r>
      <w:r w:rsidR="0068716F">
        <w:rPr>
          <w:b w:val="0"/>
          <w:bCs/>
        </w:rPr>
        <w:t> </w:t>
      </w:r>
      <w:r w:rsidR="000C1FAA" w:rsidRPr="000C1FAA">
        <w:rPr>
          <w:b w:val="0"/>
          <w:bCs/>
        </w:rPr>
        <w:t>podpůrných akcí, které nemají za</w:t>
      </w:r>
      <w:r w:rsidR="00EE6786">
        <w:rPr>
          <w:b w:val="0"/>
          <w:bCs/>
        </w:rPr>
        <w:t> </w:t>
      </w:r>
      <w:r w:rsidR="000C1FAA" w:rsidRPr="000C1FAA">
        <w:rPr>
          <w:b w:val="0"/>
          <w:bCs/>
        </w:rPr>
        <w:t xml:space="preserve">cíl </w:t>
      </w:r>
      <w:r w:rsidR="00EE6786">
        <w:rPr>
          <w:b w:val="0"/>
          <w:bCs/>
        </w:rPr>
        <w:t xml:space="preserve">přímou </w:t>
      </w:r>
      <w:r w:rsidR="000C1FAA" w:rsidRPr="000C1FAA">
        <w:rPr>
          <w:b w:val="0"/>
          <w:bCs/>
        </w:rPr>
        <w:t>integraci S</w:t>
      </w:r>
      <w:r w:rsidR="000C1FAA">
        <w:rPr>
          <w:b w:val="0"/>
          <w:bCs/>
        </w:rPr>
        <w:t>HV</w:t>
      </w:r>
      <w:r w:rsidR="00EE6786">
        <w:rPr>
          <w:b w:val="0"/>
          <w:bCs/>
        </w:rPr>
        <w:t>.</w:t>
      </w:r>
    </w:p>
    <w:p w14:paraId="02CDE694" w14:textId="138F7FC1" w:rsidR="001573F1" w:rsidRPr="00C31B9D" w:rsidRDefault="003433ED" w:rsidP="00C31B9D">
      <w:pPr>
        <w:pStyle w:val="Nadpisbezstranky"/>
        <w:rPr>
          <w:sz w:val="28"/>
          <w:szCs w:val="28"/>
        </w:rPr>
      </w:pPr>
      <w:bookmarkStart w:id="3" w:name="_Toc213405197"/>
      <w:r w:rsidRPr="00C31B9D">
        <w:rPr>
          <w:sz w:val="28"/>
          <w:szCs w:val="28"/>
        </w:rPr>
        <w:lastRenderedPageBreak/>
        <w:t>Budoucí podpora SHV v rámcovém programu FP10</w:t>
      </w:r>
      <w:bookmarkEnd w:id="3"/>
    </w:p>
    <w:p w14:paraId="6357B5D6" w14:textId="7BCDA522" w:rsidR="007F2EEF" w:rsidRPr="007F2EEF" w:rsidRDefault="007F2EEF" w:rsidP="00C31B9D">
      <w:pPr>
        <w:spacing w:after="240"/>
        <w:jc w:val="both"/>
      </w:pPr>
      <w:r w:rsidRPr="007F2EEF">
        <w:t xml:space="preserve">Na následující </w:t>
      </w:r>
      <w:r>
        <w:t>kapitolu</w:t>
      </w:r>
      <w:r w:rsidRPr="007F2EEF">
        <w:t xml:space="preserve"> je </w:t>
      </w:r>
      <w:r>
        <w:t>třeba</w:t>
      </w:r>
      <w:r w:rsidRPr="007F2EEF">
        <w:t xml:space="preserve"> nahlížet s určitou mírou rezervovanosti, neboť jednání o</w:t>
      </w:r>
      <w:r>
        <w:t> </w:t>
      </w:r>
      <w:r w:rsidRPr="007F2EEF">
        <w:t xml:space="preserve">víceletém finančním rámci, jehož bude FP10 součástí, </w:t>
      </w:r>
      <w:r w:rsidR="006066C3">
        <w:t>stále</w:t>
      </w:r>
      <w:r w:rsidRPr="007F2EEF">
        <w:t xml:space="preserve"> probíhají. </w:t>
      </w:r>
      <w:r>
        <w:t xml:space="preserve">Z dostupných dokumentů a pozic lze vyvodit pouze předobraz toho, </w:t>
      </w:r>
      <w:r w:rsidR="006066C3">
        <w:t>v jakém rozsahu mají být</w:t>
      </w:r>
      <w:r>
        <w:t xml:space="preserve"> SHV podporovány a integrovány.</w:t>
      </w:r>
    </w:p>
    <w:p w14:paraId="63BD01D1" w14:textId="4CBB362A" w:rsidR="001573F1" w:rsidRDefault="0061688F" w:rsidP="001573F1">
      <w:pPr>
        <w:rPr>
          <w:b/>
          <w:bCs/>
        </w:rPr>
      </w:pPr>
      <w:r>
        <w:rPr>
          <w:b/>
          <w:bCs/>
        </w:rPr>
        <w:t xml:space="preserve">Struktura FP10 a </w:t>
      </w:r>
      <w:r w:rsidR="00ED44F8">
        <w:rPr>
          <w:b/>
          <w:bCs/>
        </w:rPr>
        <w:t>příležitosti pro</w:t>
      </w:r>
      <w:r>
        <w:rPr>
          <w:b/>
          <w:bCs/>
        </w:rPr>
        <w:t xml:space="preserve"> SHV</w:t>
      </w:r>
    </w:p>
    <w:p w14:paraId="50B837A0" w14:textId="52120C64" w:rsidR="00BC257C" w:rsidRDefault="00890E1F" w:rsidP="00BC257C">
      <w:pPr>
        <w:jc w:val="both"/>
      </w:pPr>
      <w:r>
        <w:t>Víceletý finanční rámec</w:t>
      </w:r>
      <w:r w:rsidRPr="00890E1F">
        <w:t xml:space="preserve"> 2028–2034</w:t>
      </w:r>
      <w:r>
        <w:t xml:space="preserve"> předpokládá alokaci </w:t>
      </w:r>
      <w:r w:rsidRPr="00890E1F">
        <w:t xml:space="preserve">175 </w:t>
      </w:r>
      <w:r>
        <w:t>mld. € na</w:t>
      </w:r>
      <w:r w:rsidRPr="00890E1F">
        <w:t xml:space="preserve"> </w:t>
      </w:r>
      <w:r>
        <w:t>FP10</w:t>
      </w:r>
      <w:r w:rsidR="00BC257C">
        <w:t xml:space="preserve">, který má dle stávajícího návrhu </w:t>
      </w:r>
      <w:r w:rsidR="00BC257C" w:rsidRPr="00200BC5">
        <w:t>nařízení Evropského parlamentu a Rady EU</w:t>
      </w:r>
      <w:r w:rsidR="00BC257C">
        <w:t xml:space="preserve">, kterým se </w:t>
      </w:r>
      <w:r w:rsidR="00BC257C" w:rsidRPr="008260D8">
        <w:t>zavádí rámcový program pro</w:t>
      </w:r>
      <w:r w:rsidR="00BC257C">
        <w:t> </w:t>
      </w:r>
      <w:r w:rsidR="00BC257C" w:rsidRPr="008260D8">
        <w:t xml:space="preserve">výzkum a inovace </w:t>
      </w:r>
      <w:r w:rsidR="00BC257C">
        <w:t>pro období 2028–2034, nést totožné označení – Horizont Evropa.</w:t>
      </w:r>
    </w:p>
    <w:p w14:paraId="2174668B" w14:textId="709DF4A2" w:rsidR="00BC257C" w:rsidRDefault="00BC257C" w:rsidP="00BC257C">
      <w:pPr>
        <w:jc w:val="both"/>
      </w:pPr>
      <w:r>
        <w:t>Struktura FP10 stojí na čtyřech pilířích:</w:t>
      </w:r>
    </w:p>
    <w:p w14:paraId="1306EEDE" w14:textId="1487E2EF" w:rsidR="00BC257C" w:rsidRPr="00BC257C" w:rsidRDefault="00BC257C" w:rsidP="00BC257C">
      <w:pPr>
        <w:pStyle w:val="Odstavecseseznamem"/>
        <w:numPr>
          <w:ilvl w:val="0"/>
          <w:numId w:val="14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>Vynikající věda</w:t>
      </w:r>
      <w:r w:rsidR="005317F3">
        <w:rPr>
          <w:rFonts w:ascii="Arial" w:hAnsi="Arial"/>
        </w:rPr>
        <w:t>,</w:t>
      </w:r>
    </w:p>
    <w:p w14:paraId="548CB9E8" w14:textId="33FC3957" w:rsidR="00BC257C" w:rsidRPr="00BC257C" w:rsidRDefault="00BC257C" w:rsidP="00BC257C">
      <w:pPr>
        <w:pStyle w:val="Odstavecseseznamem"/>
        <w:numPr>
          <w:ilvl w:val="0"/>
          <w:numId w:val="14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 xml:space="preserve">Konkurenceschopnost a </w:t>
      </w:r>
      <w:r>
        <w:rPr>
          <w:rFonts w:ascii="Arial" w:hAnsi="Arial"/>
        </w:rPr>
        <w:t>S</w:t>
      </w:r>
      <w:r w:rsidRPr="00BC257C">
        <w:rPr>
          <w:rFonts w:ascii="Arial" w:hAnsi="Arial"/>
        </w:rPr>
        <w:t>polečnost</w:t>
      </w:r>
      <w:r w:rsidR="005317F3">
        <w:rPr>
          <w:rFonts w:ascii="Arial" w:hAnsi="Arial"/>
        </w:rPr>
        <w:t>,</w:t>
      </w:r>
    </w:p>
    <w:p w14:paraId="0DF4C714" w14:textId="03E1D695" w:rsidR="00BC257C" w:rsidRPr="00BC257C" w:rsidRDefault="00BC257C" w:rsidP="00BC257C">
      <w:pPr>
        <w:pStyle w:val="Odstavecseseznamem"/>
        <w:numPr>
          <w:ilvl w:val="0"/>
          <w:numId w:val="14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>Inovace</w:t>
      </w:r>
      <w:r w:rsidR="005317F3">
        <w:rPr>
          <w:rFonts w:ascii="Arial" w:hAnsi="Arial"/>
        </w:rPr>
        <w:t>,</w:t>
      </w:r>
    </w:p>
    <w:p w14:paraId="643B217A" w14:textId="103207BA" w:rsidR="00BC257C" w:rsidRDefault="00BC257C" w:rsidP="00BC257C">
      <w:pPr>
        <w:pStyle w:val="Odstavecseseznamem"/>
        <w:numPr>
          <w:ilvl w:val="0"/>
          <w:numId w:val="14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>Evropský výzkumný prostor</w:t>
      </w:r>
      <w:r w:rsidR="005317F3">
        <w:rPr>
          <w:rFonts w:ascii="Arial" w:hAnsi="Arial"/>
        </w:rPr>
        <w:t>.</w:t>
      </w:r>
    </w:p>
    <w:p w14:paraId="7DADEAD9" w14:textId="740F5768" w:rsidR="005317F3" w:rsidRPr="005317F3" w:rsidRDefault="005317F3" w:rsidP="005317F3">
      <w:pPr>
        <w:pStyle w:val="Normlnweb"/>
        <w:jc w:val="both"/>
        <w:rPr>
          <w:rFonts w:ascii="Arial" w:eastAsia="Arial" w:hAnsi="Arial"/>
          <w:sz w:val="22"/>
          <w:szCs w:val="22"/>
          <w:lang w:eastAsia="en-US"/>
        </w:rPr>
      </w:pPr>
      <w:r>
        <w:rPr>
          <w:rFonts w:ascii="Arial" w:eastAsia="Arial" w:hAnsi="Arial"/>
          <w:sz w:val="22"/>
          <w:szCs w:val="22"/>
          <w:lang w:eastAsia="en-US"/>
        </w:rPr>
        <w:t>II. pilíř</w:t>
      </w:r>
      <w:r w:rsidRPr="005317F3">
        <w:rPr>
          <w:rFonts w:ascii="Arial" w:eastAsia="Arial" w:hAnsi="Arial"/>
          <w:sz w:val="22"/>
          <w:szCs w:val="22"/>
          <w:lang w:eastAsia="en-US"/>
        </w:rPr>
        <w:t xml:space="preserve"> si klade za cíl podporovat spolupráci </w:t>
      </w:r>
      <w:proofErr w:type="spellStart"/>
      <w:r w:rsidRPr="005317F3">
        <w:rPr>
          <w:rFonts w:ascii="Arial" w:eastAsia="Arial" w:hAnsi="Arial"/>
          <w:sz w:val="22"/>
          <w:szCs w:val="22"/>
          <w:lang w:eastAsia="en-US"/>
        </w:rPr>
        <w:t>VaVaI</w:t>
      </w:r>
      <w:proofErr w:type="spellEnd"/>
      <w:r w:rsidRPr="005317F3">
        <w:rPr>
          <w:rFonts w:ascii="Arial" w:eastAsia="Arial" w:hAnsi="Arial"/>
          <w:sz w:val="22"/>
          <w:szCs w:val="22"/>
          <w:lang w:eastAsia="en-US"/>
        </w:rPr>
        <w:t xml:space="preserve"> v oblastech s vysokým společenským dopadem se zaměřením na řešení globálních společenských výzev</w:t>
      </w:r>
      <w:r>
        <w:rPr>
          <w:rFonts w:ascii="Arial" w:eastAsia="Arial" w:hAnsi="Arial"/>
          <w:sz w:val="22"/>
          <w:szCs w:val="22"/>
          <w:lang w:eastAsia="en-US"/>
        </w:rPr>
        <w:t xml:space="preserve">, </w:t>
      </w:r>
      <w:r w:rsidRPr="005317F3">
        <w:rPr>
          <w:rFonts w:ascii="Arial" w:eastAsia="Arial" w:hAnsi="Arial"/>
          <w:sz w:val="22"/>
          <w:szCs w:val="22"/>
          <w:lang w:eastAsia="en-US"/>
        </w:rPr>
        <w:t>jako jsou migrace, dezinformace, ochrana, posilování a podpora demokracie, sociální a ekonomické transformace, inkluzivní společnosti a sociální soudržnost.</w:t>
      </w:r>
    </w:p>
    <w:p w14:paraId="0BFDA6C6" w14:textId="141790A1" w:rsidR="00BC257C" w:rsidRPr="005317F3" w:rsidRDefault="00BC257C" w:rsidP="005317F3">
      <w:pPr>
        <w:pStyle w:val="Normlnweb"/>
        <w:jc w:val="both"/>
        <w:rPr>
          <w:rFonts w:ascii="Arial" w:eastAsia="Arial" w:hAnsi="Arial"/>
          <w:sz w:val="22"/>
          <w:szCs w:val="22"/>
          <w:lang w:eastAsia="en-US"/>
        </w:rPr>
      </w:pPr>
      <w:r w:rsidRPr="005317F3">
        <w:rPr>
          <w:rFonts w:ascii="Arial" w:eastAsia="Arial" w:hAnsi="Arial"/>
          <w:sz w:val="22"/>
          <w:szCs w:val="22"/>
          <w:lang w:eastAsia="en-US"/>
        </w:rPr>
        <w:t>V rámci II</w:t>
      </w:r>
      <w:r w:rsidR="005317F3" w:rsidRPr="005317F3">
        <w:rPr>
          <w:rFonts w:ascii="Arial" w:eastAsia="Arial" w:hAnsi="Arial"/>
          <w:sz w:val="22"/>
          <w:szCs w:val="22"/>
          <w:lang w:eastAsia="en-US"/>
        </w:rPr>
        <w:t>.</w:t>
      </w:r>
      <w:r w:rsidRPr="005317F3">
        <w:rPr>
          <w:rFonts w:ascii="Arial" w:eastAsia="Arial" w:hAnsi="Arial"/>
          <w:sz w:val="22"/>
          <w:szCs w:val="22"/>
          <w:lang w:eastAsia="en-US"/>
        </w:rPr>
        <w:t xml:space="preserve"> pilíře, komponenty Společnost</w:t>
      </w:r>
      <w:r w:rsidR="005317F3" w:rsidRPr="005317F3">
        <w:rPr>
          <w:rFonts w:ascii="Arial" w:eastAsia="Arial" w:hAnsi="Arial"/>
          <w:sz w:val="22"/>
          <w:szCs w:val="22"/>
          <w:lang w:eastAsia="en-US"/>
        </w:rPr>
        <w:t>, na kterou má být alokováno 7,6 mld. €,</w:t>
      </w:r>
      <w:r w:rsidRPr="005317F3">
        <w:rPr>
          <w:rFonts w:ascii="Arial" w:eastAsia="Arial" w:hAnsi="Arial"/>
          <w:sz w:val="22"/>
          <w:szCs w:val="22"/>
          <w:lang w:eastAsia="en-US"/>
        </w:rPr>
        <w:t xml:space="preserve"> jsou zahrnuty tyto výzkumné a inovační aktivity:</w:t>
      </w:r>
    </w:p>
    <w:p w14:paraId="73CEDAB0" w14:textId="1C69A200" w:rsidR="00BC257C" w:rsidRPr="00BC257C" w:rsidRDefault="00BC257C" w:rsidP="00BC257C">
      <w:pPr>
        <w:pStyle w:val="Odstavecseseznamem"/>
        <w:numPr>
          <w:ilvl w:val="0"/>
          <w:numId w:val="16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>Globální společenské výzvy</w:t>
      </w:r>
      <w:r w:rsidR="005317F3">
        <w:rPr>
          <w:rFonts w:ascii="Arial" w:hAnsi="Arial"/>
        </w:rPr>
        <w:t>,</w:t>
      </w:r>
    </w:p>
    <w:p w14:paraId="48D979FD" w14:textId="60B4D87E" w:rsidR="00BC257C" w:rsidRPr="00BC257C" w:rsidRDefault="00BC257C" w:rsidP="00BC257C">
      <w:pPr>
        <w:pStyle w:val="Odstavecseseznamem"/>
        <w:numPr>
          <w:ilvl w:val="0"/>
          <w:numId w:val="16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>Mise EU</w:t>
      </w:r>
      <w:r w:rsidR="005317F3">
        <w:rPr>
          <w:rFonts w:ascii="Arial" w:hAnsi="Arial"/>
        </w:rPr>
        <w:t>,</w:t>
      </w:r>
    </w:p>
    <w:p w14:paraId="01FB2ACE" w14:textId="2812CC61" w:rsidR="005317F3" w:rsidRPr="005317F3" w:rsidRDefault="00BC257C" w:rsidP="005317F3">
      <w:pPr>
        <w:pStyle w:val="Odstavecseseznamem"/>
        <w:numPr>
          <w:ilvl w:val="0"/>
          <w:numId w:val="16"/>
        </w:numPr>
        <w:jc w:val="both"/>
        <w:rPr>
          <w:rFonts w:ascii="Arial" w:hAnsi="Arial"/>
        </w:rPr>
      </w:pPr>
      <w:r w:rsidRPr="00BC257C">
        <w:rPr>
          <w:rFonts w:ascii="Arial" w:hAnsi="Arial"/>
        </w:rPr>
        <w:t>Nový evropský Bauhaus</w:t>
      </w:r>
      <w:r w:rsidR="005317F3">
        <w:rPr>
          <w:rFonts w:ascii="Arial" w:hAnsi="Arial"/>
        </w:rPr>
        <w:t>.</w:t>
      </w:r>
    </w:p>
    <w:p w14:paraId="4FCB54E6" w14:textId="706DA9A6" w:rsidR="00BC257C" w:rsidRDefault="005317F3" w:rsidP="005317F3">
      <w:pPr>
        <w:jc w:val="both"/>
      </w:pPr>
      <w:r>
        <w:t xml:space="preserve">V Článku 5 návrhu nařízení je akcentován horizontální princip, tedy kde je to vhodné, umožnit integraci SHV napříč všemi součástmi programu, </w:t>
      </w:r>
      <w:r w:rsidRPr="005317F3">
        <w:t xml:space="preserve">včetně specifických výzev k podávání návrhů </w:t>
      </w:r>
      <w:r>
        <w:t>s vazbou na SHV</w:t>
      </w:r>
      <w:r w:rsidRPr="005317F3">
        <w:t>.</w:t>
      </w:r>
    </w:p>
    <w:p w14:paraId="213EA97D" w14:textId="58F6B7A5" w:rsidR="007F4ED0" w:rsidRPr="00890E1F" w:rsidRDefault="007F4ED0" w:rsidP="005317F3">
      <w:pPr>
        <w:jc w:val="both"/>
      </w:pPr>
      <w:r>
        <w:t xml:space="preserve">Článek 15 návrhu nařízení upravuje kolaborativní výzkum, přičemž mají být propojeny </w:t>
      </w:r>
      <w:r w:rsidRPr="007F4ED0">
        <w:t>subjekty z různých oborů s cílem podpořit vývoj a rychlé šíření vysoce kvalitních výsledků</w:t>
      </w:r>
      <w:r>
        <w:t xml:space="preserve">, mimo jiné ve prospěch </w:t>
      </w:r>
      <w:r w:rsidRPr="007F4ED0">
        <w:t>řešení společenských výzev – včetně kultury a kreativity</w:t>
      </w:r>
      <w:r>
        <w:t xml:space="preserve">. Stanovuje, že </w:t>
      </w:r>
      <w:r w:rsidRPr="007F4ED0">
        <w:t>aktivity budou realizovány vyváženě mezi nižšími a vyššími úrovněmi technologické připravenosti (TRL)</w:t>
      </w:r>
      <w:r>
        <w:t xml:space="preserve">. Dále výslovně uvádí, že </w:t>
      </w:r>
      <w:r w:rsidRPr="007F4ED0">
        <w:t>FP10 bude podporovat aktivity zaměřené na</w:t>
      </w:r>
      <w:r>
        <w:t> </w:t>
      </w:r>
      <w:r w:rsidRPr="007F4ED0">
        <w:t>řešení globálních společenských výzev v oblastech posilování demokratických hodnot a</w:t>
      </w:r>
      <w:r>
        <w:t> </w:t>
      </w:r>
      <w:r w:rsidRPr="007F4ED0">
        <w:t>boje proti dezinformacím, včetně právního státu a základních práv</w:t>
      </w:r>
      <w:r>
        <w:t>,</w:t>
      </w:r>
      <w:r w:rsidRPr="007F4ED0">
        <w:t xml:space="preserve"> dále na podporu socioekonomických transformací přispívajících k inkluzi a růstu, řešení demografických a</w:t>
      </w:r>
      <w:r>
        <w:t> </w:t>
      </w:r>
      <w:r w:rsidRPr="007F4ED0">
        <w:t>mezigeneračních výzev</w:t>
      </w:r>
      <w:r>
        <w:t>, také z perspektivy</w:t>
      </w:r>
      <w:r w:rsidRPr="007F4ED0">
        <w:t xml:space="preserve"> mladých lidí</w:t>
      </w:r>
      <w:r>
        <w:t>,</w:t>
      </w:r>
      <w:r w:rsidRPr="007F4ED0">
        <w:t xml:space="preserve"> a na řízení migrace a integraci migrantů.</w:t>
      </w:r>
    </w:p>
    <w:p w14:paraId="0D091D13" w14:textId="3E3D9783" w:rsidR="005317F3" w:rsidRDefault="007F4ED0" w:rsidP="00C31B9D">
      <w:pPr>
        <w:spacing w:after="240"/>
        <w:jc w:val="both"/>
      </w:pPr>
      <w:r>
        <w:t xml:space="preserve">Lze tedy konstatovat, že </w:t>
      </w:r>
      <w:r w:rsidR="00E756E2" w:rsidRPr="00E756E2">
        <w:t>SHV by měly být</w:t>
      </w:r>
      <w:r w:rsidR="005317F3">
        <w:t xml:space="preserve">, obdobně jako ve stávajícím Horizontu Evropa, zastoupeny </w:t>
      </w:r>
      <w:r>
        <w:t xml:space="preserve">jak </w:t>
      </w:r>
      <w:r w:rsidR="005317F3">
        <w:t>samostatně ve II.</w:t>
      </w:r>
      <w:r w:rsidR="00C31B9D">
        <w:t> </w:t>
      </w:r>
      <w:r w:rsidR="005317F3">
        <w:t>pilíři v rámci komponenty Společnost</w:t>
      </w:r>
      <w:r>
        <w:t>, tak</w:t>
      </w:r>
      <w:r w:rsidR="005317F3">
        <w:t xml:space="preserve"> </w:t>
      </w:r>
      <w:r w:rsidR="00E756E2" w:rsidRPr="00E756E2">
        <w:t xml:space="preserve">integrovány </w:t>
      </w:r>
      <w:r w:rsidR="005317F3">
        <w:t xml:space="preserve">průřezově </w:t>
      </w:r>
      <w:r w:rsidR="00E756E2" w:rsidRPr="00E756E2">
        <w:t xml:space="preserve">v celém </w:t>
      </w:r>
      <w:r w:rsidR="0001374E">
        <w:t xml:space="preserve">rámcovém </w:t>
      </w:r>
      <w:r w:rsidR="00E756E2" w:rsidRPr="00E756E2">
        <w:t>programu FP10</w:t>
      </w:r>
      <w:r w:rsidR="005317F3">
        <w:t>.</w:t>
      </w:r>
    </w:p>
    <w:p w14:paraId="059B2000" w14:textId="77777777" w:rsidR="00C31B9D" w:rsidRDefault="007E1F3A" w:rsidP="007E1F3A">
      <w:pPr>
        <w:rPr>
          <w:b/>
          <w:bCs/>
        </w:rPr>
      </w:pPr>
      <w:r w:rsidRPr="007E1F3A">
        <w:rPr>
          <w:b/>
          <w:bCs/>
        </w:rPr>
        <w:lastRenderedPageBreak/>
        <w:t>Rámec diskuse o podpoře SHV v novém FP10</w:t>
      </w:r>
    </w:p>
    <w:p w14:paraId="4BB8A8B8" w14:textId="37F9D34A" w:rsidR="007E1F3A" w:rsidRPr="00E756E2" w:rsidRDefault="007E1F3A" w:rsidP="007E1F3A">
      <w:pPr>
        <w:rPr>
          <w:i/>
          <w:iCs/>
        </w:rPr>
      </w:pPr>
      <w:hyperlink r:id="rId23" w:history="1">
        <w:r w:rsidRPr="00E756E2">
          <w:rPr>
            <w:rStyle w:val="Hypertextovodkaz"/>
            <w:i/>
            <w:iCs/>
          </w:rPr>
          <w:t xml:space="preserve">Společné prohlášení </w:t>
        </w:r>
        <w:r w:rsidR="00E756E2" w:rsidRPr="00E756E2">
          <w:rPr>
            <w:rStyle w:val="Hypertextovodkaz"/>
            <w:i/>
            <w:iCs/>
          </w:rPr>
          <w:t xml:space="preserve">14 </w:t>
        </w:r>
        <w:r w:rsidRPr="00E756E2">
          <w:rPr>
            <w:rStyle w:val="Hypertextovodkaz"/>
            <w:i/>
            <w:iCs/>
          </w:rPr>
          <w:t>významných asociací</w:t>
        </w:r>
      </w:hyperlink>
      <w:r w:rsidRPr="00E756E2">
        <w:rPr>
          <w:i/>
          <w:iCs/>
        </w:rPr>
        <w:t xml:space="preserve"> </w:t>
      </w:r>
    </w:p>
    <w:p w14:paraId="062D7DE7" w14:textId="3641B57C" w:rsidR="007E1F3A" w:rsidRPr="007E1F3A" w:rsidRDefault="007E1F3A" w:rsidP="00404846">
      <w:pPr>
        <w:jc w:val="both"/>
      </w:pPr>
      <w:r w:rsidRPr="007E1F3A">
        <w:t>Dne 2. prosince 2024 vydalo 14 evropských výzkumných asociací společné prohlášení, že</w:t>
      </w:r>
      <w:r w:rsidR="00E756E2">
        <w:t> </w:t>
      </w:r>
      <w:r w:rsidRPr="007E1F3A">
        <w:t>integrace SHV musí být prioritou při formulaci FP10. Zvláště zdůrazňují</w:t>
      </w:r>
      <w:r w:rsidR="00E756E2">
        <w:t xml:space="preserve"> potřebu</w:t>
      </w:r>
      <w:r w:rsidRPr="007E1F3A">
        <w:t>:</w:t>
      </w:r>
    </w:p>
    <w:p w14:paraId="1A43BF57" w14:textId="4B7AA0DE" w:rsidR="007E1F3A" w:rsidRPr="007E1F3A" w:rsidRDefault="0068716F" w:rsidP="00404846">
      <w:pPr>
        <w:numPr>
          <w:ilvl w:val="0"/>
          <w:numId w:val="3"/>
        </w:numPr>
        <w:spacing w:after="0"/>
        <w:ind w:left="714" w:hanging="357"/>
        <w:jc w:val="both"/>
      </w:pPr>
      <w:r>
        <w:t>u</w:t>
      </w:r>
      <w:r w:rsidR="007E1F3A" w:rsidRPr="007E1F3A">
        <w:t>rčit dedikované financování pro SHV</w:t>
      </w:r>
      <w:r>
        <w:t>,</w:t>
      </w:r>
    </w:p>
    <w:p w14:paraId="6B5EC581" w14:textId="4641B8F4" w:rsidR="005F6ECD" w:rsidRPr="007E1F3A" w:rsidRDefault="0068716F" w:rsidP="005F6ECD">
      <w:pPr>
        <w:numPr>
          <w:ilvl w:val="0"/>
          <w:numId w:val="3"/>
        </w:numPr>
        <w:spacing w:after="240"/>
        <w:ind w:left="714" w:hanging="357"/>
        <w:jc w:val="both"/>
      </w:pPr>
      <w:r>
        <w:t>p</w:t>
      </w:r>
      <w:r w:rsidR="007E1F3A" w:rsidRPr="007E1F3A">
        <w:t>osílit interdisciplinární spolupráci mezi technologickým výzkumem a SHV, zejména pro udržitelnost, sociální soudržnost a etické dimenze inovací.</w:t>
      </w:r>
    </w:p>
    <w:p w14:paraId="7A0A74F4" w14:textId="6F1982F1" w:rsidR="007E1F3A" w:rsidRPr="00E756E2" w:rsidRDefault="007E1F3A" w:rsidP="007E1F3A">
      <w:pPr>
        <w:rPr>
          <w:i/>
          <w:iCs/>
        </w:rPr>
      </w:pPr>
      <w:hyperlink r:id="rId24" w:history="1">
        <w:r w:rsidRPr="00E756E2">
          <w:rPr>
            <w:rStyle w:val="Hypertextovodkaz"/>
            <w:i/>
            <w:iCs/>
          </w:rPr>
          <w:t>Požadavky</w:t>
        </w:r>
      </w:hyperlink>
      <w:r w:rsidRPr="00E756E2">
        <w:rPr>
          <w:i/>
          <w:iCs/>
        </w:rPr>
        <w:t xml:space="preserve"> organizace </w:t>
      </w:r>
      <w:proofErr w:type="spellStart"/>
      <w:r w:rsidR="00E756E2" w:rsidRPr="00E756E2">
        <w:rPr>
          <w:i/>
          <w:iCs/>
        </w:rPr>
        <w:t>League</w:t>
      </w:r>
      <w:proofErr w:type="spellEnd"/>
      <w:r w:rsidR="00E756E2" w:rsidRPr="00E756E2">
        <w:rPr>
          <w:i/>
          <w:iCs/>
        </w:rPr>
        <w:t xml:space="preserve"> </w:t>
      </w:r>
      <w:proofErr w:type="spellStart"/>
      <w:r w:rsidR="00E756E2" w:rsidRPr="00E756E2">
        <w:rPr>
          <w:i/>
          <w:iCs/>
        </w:rPr>
        <w:t>of</w:t>
      </w:r>
      <w:proofErr w:type="spellEnd"/>
      <w:r w:rsidR="00E756E2" w:rsidRPr="00E756E2">
        <w:rPr>
          <w:i/>
          <w:iCs/>
        </w:rPr>
        <w:t xml:space="preserve"> </w:t>
      </w:r>
      <w:proofErr w:type="spellStart"/>
      <w:r w:rsidR="00E756E2" w:rsidRPr="00E756E2">
        <w:rPr>
          <w:i/>
          <w:iCs/>
        </w:rPr>
        <w:t>European</w:t>
      </w:r>
      <w:proofErr w:type="spellEnd"/>
      <w:r w:rsidR="00E756E2" w:rsidRPr="00E756E2">
        <w:rPr>
          <w:i/>
          <w:iCs/>
        </w:rPr>
        <w:t xml:space="preserve"> </w:t>
      </w:r>
      <w:proofErr w:type="spellStart"/>
      <w:r w:rsidR="00E756E2" w:rsidRPr="00E756E2">
        <w:rPr>
          <w:i/>
          <w:iCs/>
        </w:rPr>
        <w:t>Research</w:t>
      </w:r>
      <w:proofErr w:type="spellEnd"/>
      <w:r w:rsidR="00E756E2" w:rsidRPr="00E756E2">
        <w:rPr>
          <w:i/>
          <w:iCs/>
        </w:rPr>
        <w:t xml:space="preserve"> </w:t>
      </w:r>
      <w:proofErr w:type="spellStart"/>
      <w:r w:rsidR="00E756E2" w:rsidRPr="00E756E2">
        <w:rPr>
          <w:i/>
          <w:iCs/>
        </w:rPr>
        <w:t>Universities</w:t>
      </w:r>
      <w:proofErr w:type="spellEnd"/>
      <w:r w:rsidR="00E756E2" w:rsidRPr="00E756E2">
        <w:rPr>
          <w:i/>
          <w:iCs/>
        </w:rPr>
        <w:t xml:space="preserve"> (</w:t>
      </w:r>
      <w:r w:rsidRPr="00E756E2">
        <w:rPr>
          <w:i/>
          <w:iCs/>
        </w:rPr>
        <w:t>LERU</w:t>
      </w:r>
      <w:r w:rsidR="00E756E2" w:rsidRPr="00E756E2">
        <w:rPr>
          <w:i/>
          <w:iCs/>
        </w:rPr>
        <w:t>)</w:t>
      </w:r>
      <w:r w:rsidRPr="00E756E2">
        <w:rPr>
          <w:i/>
          <w:iCs/>
        </w:rPr>
        <w:t xml:space="preserve"> </w:t>
      </w:r>
    </w:p>
    <w:p w14:paraId="7E35A4A8" w14:textId="5765E9CE" w:rsidR="007E1F3A" w:rsidRPr="007E1F3A" w:rsidRDefault="00E756E2" w:rsidP="007E1F3A">
      <w:r>
        <w:t>LERU</w:t>
      </w:r>
      <w:r w:rsidR="007E1F3A" w:rsidRPr="007E1F3A">
        <w:t xml:space="preserve"> volá po „skutečně interdisciplinárním“ FP10, který:</w:t>
      </w:r>
    </w:p>
    <w:p w14:paraId="6AFAB026" w14:textId="52A6DFD4" w:rsidR="007E1F3A" w:rsidRPr="007E1F3A" w:rsidRDefault="0068716F" w:rsidP="00E756E2">
      <w:pPr>
        <w:numPr>
          <w:ilvl w:val="0"/>
          <w:numId w:val="3"/>
        </w:numPr>
        <w:spacing w:after="0"/>
        <w:ind w:left="714" w:hanging="357"/>
      </w:pPr>
      <w:r>
        <w:t>i</w:t>
      </w:r>
      <w:r w:rsidR="007E1F3A" w:rsidRPr="007E1F3A">
        <w:t>nvestuje více do SHV výzkumu</w:t>
      </w:r>
      <w:r>
        <w:t>,</w:t>
      </w:r>
    </w:p>
    <w:p w14:paraId="2E448A08" w14:textId="51CE4A8C" w:rsidR="007E1F3A" w:rsidRPr="007E1F3A" w:rsidRDefault="0068716F" w:rsidP="00E756E2">
      <w:pPr>
        <w:numPr>
          <w:ilvl w:val="0"/>
          <w:numId w:val="3"/>
        </w:numPr>
        <w:spacing w:after="0"/>
        <w:ind w:left="714" w:hanging="357"/>
      </w:pPr>
      <w:r>
        <w:t>z</w:t>
      </w:r>
      <w:r w:rsidR="007E1F3A" w:rsidRPr="007E1F3A">
        <w:t>ahrnuje zástupce všech disciplín do rozhodovacích struktur</w:t>
      </w:r>
      <w:r>
        <w:t>,</w:t>
      </w:r>
    </w:p>
    <w:p w14:paraId="167021DC" w14:textId="4FB696EF" w:rsidR="007E1F3A" w:rsidRPr="007E1F3A" w:rsidRDefault="0068716F" w:rsidP="00E756E2">
      <w:pPr>
        <w:numPr>
          <w:ilvl w:val="0"/>
          <w:numId w:val="3"/>
        </w:numPr>
        <w:spacing w:after="240"/>
        <w:ind w:left="714" w:hanging="357"/>
      </w:pPr>
      <w:r>
        <w:t>z</w:t>
      </w:r>
      <w:r w:rsidR="007E1F3A" w:rsidRPr="007E1F3A">
        <w:t xml:space="preserve">ajišťuje </w:t>
      </w:r>
      <w:proofErr w:type="spellStart"/>
      <w:r w:rsidR="007E1F3A" w:rsidRPr="007E1F3A">
        <w:t>inkluzivitu</w:t>
      </w:r>
      <w:proofErr w:type="spellEnd"/>
      <w:r w:rsidR="007E1F3A" w:rsidRPr="007E1F3A">
        <w:t xml:space="preserve"> SHV do všech oblastí programování EU výzkumu.</w:t>
      </w:r>
    </w:p>
    <w:p w14:paraId="66CFBD4D" w14:textId="4F001585" w:rsidR="007E1F3A" w:rsidRPr="00404846" w:rsidRDefault="007E1F3A" w:rsidP="007E1F3A">
      <w:pPr>
        <w:rPr>
          <w:i/>
          <w:iCs/>
        </w:rPr>
      </w:pPr>
      <w:hyperlink r:id="rId25" w:history="1">
        <w:r w:rsidRPr="00404846">
          <w:rPr>
            <w:rStyle w:val="Hypertextovodkaz"/>
            <w:i/>
            <w:iCs/>
          </w:rPr>
          <w:t>Pozice</w:t>
        </w:r>
      </w:hyperlink>
      <w:r w:rsidRPr="00404846">
        <w:rPr>
          <w:i/>
          <w:iCs/>
        </w:rPr>
        <w:t xml:space="preserve"> EARMA (</w:t>
      </w:r>
      <w:proofErr w:type="spellStart"/>
      <w:r w:rsidRPr="00404846">
        <w:rPr>
          <w:i/>
          <w:iCs/>
        </w:rPr>
        <w:t>European</w:t>
      </w:r>
      <w:proofErr w:type="spellEnd"/>
      <w:r w:rsidRPr="00404846">
        <w:rPr>
          <w:i/>
          <w:iCs/>
        </w:rPr>
        <w:t xml:space="preserve"> </w:t>
      </w:r>
      <w:proofErr w:type="spellStart"/>
      <w:r w:rsidRPr="00404846">
        <w:rPr>
          <w:i/>
          <w:iCs/>
        </w:rPr>
        <w:t>Association</w:t>
      </w:r>
      <w:proofErr w:type="spellEnd"/>
      <w:r w:rsidRPr="00404846">
        <w:rPr>
          <w:i/>
          <w:iCs/>
        </w:rPr>
        <w:t xml:space="preserve"> </w:t>
      </w:r>
      <w:proofErr w:type="spellStart"/>
      <w:r w:rsidRPr="00404846">
        <w:rPr>
          <w:i/>
          <w:iCs/>
        </w:rPr>
        <w:t>of</w:t>
      </w:r>
      <w:proofErr w:type="spellEnd"/>
      <w:r w:rsidRPr="00404846">
        <w:rPr>
          <w:i/>
          <w:iCs/>
        </w:rPr>
        <w:t xml:space="preserve"> </w:t>
      </w:r>
      <w:proofErr w:type="spellStart"/>
      <w:r w:rsidRPr="00404846">
        <w:rPr>
          <w:i/>
          <w:iCs/>
        </w:rPr>
        <w:t>Research</w:t>
      </w:r>
      <w:proofErr w:type="spellEnd"/>
      <w:r w:rsidRPr="00404846">
        <w:rPr>
          <w:i/>
          <w:iCs/>
        </w:rPr>
        <w:t xml:space="preserve"> </w:t>
      </w:r>
      <w:proofErr w:type="spellStart"/>
      <w:r w:rsidRPr="00404846">
        <w:rPr>
          <w:i/>
          <w:iCs/>
        </w:rPr>
        <w:t>Managers</w:t>
      </w:r>
      <w:proofErr w:type="spellEnd"/>
      <w:r w:rsidRPr="00404846">
        <w:rPr>
          <w:i/>
          <w:iCs/>
        </w:rPr>
        <w:t xml:space="preserve"> and </w:t>
      </w:r>
      <w:proofErr w:type="spellStart"/>
      <w:r w:rsidRPr="00404846">
        <w:rPr>
          <w:i/>
          <w:iCs/>
        </w:rPr>
        <w:t>Administrators</w:t>
      </w:r>
      <w:proofErr w:type="spellEnd"/>
      <w:r w:rsidRPr="00404846">
        <w:rPr>
          <w:i/>
          <w:iCs/>
        </w:rPr>
        <w:t>)</w:t>
      </w:r>
    </w:p>
    <w:p w14:paraId="4A9E1EA5" w14:textId="77777777" w:rsidR="007E1F3A" w:rsidRPr="007E1F3A" w:rsidRDefault="007E1F3A" w:rsidP="007E1F3A">
      <w:r w:rsidRPr="007E1F3A">
        <w:t>Ve svém dokumentu s deseti doporučeními pro FP10 EARMA vyzdvihuje:</w:t>
      </w:r>
    </w:p>
    <w:p w14:paraId="2F0A7A75" w14:textId="56A6F379" w:rsidR="007E1F3A" w:rsidRPr="007E1F3A" w:rsidRDefault="0068716F" w:rsidP="00404846">
      <w:pPr>
        <w:numPr>
          <w:ilvl w:val="0"/>
          <w:numId w:val="4"/>
        </w:numPr>
        <w:ind w:left="714" w:hanging="357"/>
        <w:contextualSpacing/>
        <w:jc w:val="both"/>
      </w:pPr>
      <w:r>
        <w:t>v</w:t>
      </w:r>
      <w:r w:rsidR="007E1F3A" w:rsidRPr="007E1F3A">
        <w:t>ytvoření inkluzivního prostředí pro plné zapojení SHV disciplín</w:t>
      </w:r>
      <w:r>
        <w:t>,</w:t>
      </w:r>
    </w:p>
    <w:p w14:paraId="40089E2A" w14:textId="4F4A1A52" w:rsidR="007E1F3A" w:rsidRPr="007E1F3A" w:rsidRDefault="0068716F" w:rsidP="00404846">
      <w:pPr>
        <w:numPr>
          <w:ilvl w:val="0"/>
          <w:numId w:val="3"/>
        </w:numPr>
        <w:ind w:left="714" w:hanging="357"/>
        <w:contextualSpacing/>
        <w:jc w:val="both"/>
      </w:pPr>
      <w:r>
        <w:t>p</w:t>
      </w:r>
      <w:r w:rsidR="007E1F3A" w:rsidRPr="007E1F3A">
        <w:t xml:space="preserve">odporu nižších TRL (Technology </w:t>
      </w:r>
      <w:proofErr w:type="spellStart"/>
      <w:r w:rsidR="007E1F3A" w:rsidRPr="007E1F3A">
        <w:t>Readiness</w:t>
      </w:r>
      <w:proofErr w:type="spellEnd"/>
      <w:r w:rsidR="007E1F3A" w:rsidRPr="007E1F3A">
        <w:t xml:space="preserve"> Level) výzkumů v rámci </w:t>
      </w:r>
      <w:r w:rsidR="005D305C">
        <w:t>II. pilíře</w:t>
      </w:r>
      <w:r w:rsidR="007E1F3A" w:rsidRPr="007E1F3A">
        <w:t>, podporu menších i interdisciplinárních konsorcií</w:t>
      </w:r>
      <w:r>
        <w:t>,</w:t>
      </w:r>
    </w:p>
    <w:p w14:paraId="25A88BEC" w14:textId="472D8225" w:rsidR="007E1F3A" w:rsidRPr="007E1F3A" w:rsidRDefault="0068716F" w:rsidP="00404846">
      <w:pPr>
        <w:numPr>
          <w:ilvl w:val="0"/>
          <w:numId w:val="4"/>
        </w:numPr>
        <w:jc w:val="both"/>
      </w:pPr>
      <w:r>
        <w:t>n</w:t>
      </w:r>
      <w:r w:rsidR="007E1F3A" w:rsidRPr="007E1F3A">
        <w:t>utnost speciálního školení evaluátorů pro interdisciplinární výzvy, aby byly hodnoceny efektivně a spravedlivě.</w:t>
      </w:r>
    </w:p>
    <w:p w14:paraId="4E0CAE55" w14:textId="51DAA70A" w:rsidR="007E1F3A" w:rsidRPr="00E756E2" w:rsidRDefault="007E1F3A" w:rsidP="007E1F3A">
      <w:pPr>
        <w:rPr>
          <w:i/>
          <w:iCs/>
        </w:rPr>
      </w:pPr>
      <w:proofErr w:type="spellStart"/>
      <w:r w:rsidRPr="00E756E2">
        <w:rPr>
          <w:i/>
          <w:iCs/>
        </w:rPr>
        <w:t>Culture</w:t>
      </w:r>
      <w:proofErr w:type="spellEnd"/>
      <w:r w:rsidRPr="00E756E2">
        <w:rPr>
          <w:i/>
          <w:iCs/>
        </w:rPr>
        <w:t xml:space="preserve"> </w:t>
      </w:r>
      <w:proofErr w:type="spellStart"/>
      <w:r w:rsidRPr="00E756E2">
        <w:rPr>
          <w:i/>
          <w:iCs/>
        </w:rPr>
        <w:t>Action</w:t>
      </w:r>
      <w:proofErr w:type="spellEnd"/>
      <w:r w:rsidRPr="00E756E2">
        <w:rPr>
          <w:i/>
          <w:iCs/>
        </w:rPr>
        <w:t xml:space="preserve"> </w:t>
      </w:r>
      <w:proofErr w:type="spellStart"/>
      <w:r w:rsidRPr="00E756E2">
        <w:rPr>
          <w:i/>
          <w:iCs/>
        </w:rPr>
        <w:t>Europe</w:t>
      </w:r>
      <w:proofErr w:type="spellEnd"/>
      <w:r w:rsidRPr="00E756E2">
        <w:rPr>
          <w:i/>
          <w:iCs/>
        </w:rPr>
        <w:t xml:space="preserve"> </w:t>
      </w:r>
    </w:p>
    <w:p w14:paraId="5788C54D" w14:textId="27BBC55F" w:rsidR="007E1F3A" w:rsidRPr="007E1F3A" w:rsidRDefault="007E1F3A" w:rsidP="00404846">
      <w:pPr>
        <w:jc w:val="both"/>
      </w:pPr>
      <w:r w:rsidRPr="007E1F3A">
        <w:t xml:space="preserve">Kulturu a sektor kreativního průmyslu podporuje </w:t>
      </w:r>
      <w:hyperlink r:id="rId26" w:history="1">
        <w:r w:rsidRPr="00E756E2">
          <w:rPr>
            <w:rStyle w:val="Hypertextovodkaz"/>
          </w:rPr>
          <w:t>poziční dokument</w:t>
        </w:r>
      </w:hyperlink>
      <w:r w:rsidRPr="007E1F3A">
        <w:t xml:space="preserve"> iniciativy </w:t>
      </w:r>
      <w:proofErr w:type="spellStart"/>
      <w:r w:rsidRPr="007E1F3A">
        <w:t>Culture</w:t>
      </w:r>
      <w:proofErr w:type="spellEnd"/>
      <w:r w:rsidRPr="007E1F3A">
        <w:t xml:space="preserve"> </w:t>
      </w:r>
      <w:proofErr w:type="spellStart"/>
      <w:r w:rsidRPr="007E1F3A">
        <w:t>Action</w:t>
      </w:r>
      <w:proofErr w:type="spellEnd"/>
      <w:r w:rsidRPr="007E1F3A">
        <w:t xml:space="preserve"> </w:t>
      </w:r>
      <w:proofErr w:type="spellStart"/>
      <w:r w:rsidRPr="007E1F3A">
        <w:t>Europe</w:t>
      </w:r>
      <w:proofErr w:type="spellEnd"/>
      <w:r w:rsidRPr="007E1F3A">
        <w:t>, který apeluje na:</w:t>
      </w:r>
    </w:p>
    <w:p w14:paraId="3505ED52" w14:textId="36576FC8" w:rsidR="007E1F3A" w:rsidRPr="007E1F3A" w:rsidRDefault="0068716F" w:rsidP="00404846">
      <w:pPr>
        <w:numPr>
          <w:ilvl w:val="0"/>
          <w:numId w:val="5"/>
        </w:numPr>
        <w:spacing w:after="0"/>
        <w:ind w:left="714" w:hanging="357"/>
        <w:jc w:val="both"/>
      </w:pPr>
      <w:r>
        <w:t>z</w:t>
      </w:r>
      <w:r w:rsidR="007E1F3A" w:rsidRPr="007E1F3A">
        <w:t>achování (či obnovení) samostatného klastru "</w:t>
      </w:r>
      <w:proofErr w:type="spellStart"/>
      <w:r w:rsidR="007E1F3A" w:rsidRPr="007E1F3A">
        <w:t>cultural</w:t>
      </w:r>
      <w:proofErr w:type="spellEnd"/>
      <w:r w:rsidR="007E1F3A" w:rsidRPr="007E1F3A">
        <w:t xml:space="preserve">, </w:t>
      </w:r>
      <w:proofErr w:type="spellStart"/>
      <w:r w:rsidR="007E1F3A" w:rsidRPr="007E1F3A">
        <w:t>creative</w:t>
      </w:r>
      <w:proofErr w:type="spellEnd"/>
      <w:r w:rsidR="007E1F3A" w:rsidRPr="007E1F3A">
        <w:t xml:space="preserve"> and </w:t>
      </w:r>
      <w:proofErr w:type="spellStart"/>
      <w:r w:rsidR="007E1F3A" w:rsidRPr="007E1F3A">
        <w:t>inclusive</w:t>
      </w:r>
      <w:proofErr w:type="spellEnd"/>
      <w:r w:rsidR="007E1F3A" w:rsidRPr="007E1F3A">
        <w:t xml:space="preserve"> society" v rámci FP10 (jako tomu bylo v Horizon</w:t>
      </w:r>
      <w:r w:rsidR="00404846">
        <w:t>tu</w:t>
      </w:r>
      <w:r w:rsidR="007E1F3A" w:rsidRPr="007E1F3A">
        <w:t xml:space="preserve"> E</w:t>
      </w:r>
      <w:r w:rsidR="00404846">
        <w:t>vropa</w:t>
      </w:r>
      <w:r w:rsidR="007E1F3A" w:rsidRPr="007E1F3A">
        <w:t>)</w:t>
      </w:r>
      <w:r>
        <w:t>,</w:t>
      </w:r>
    </w:p>
    <w:p w14:paraId="6D06A967" w14:textId="0ABD9349" w:rsidR="00404846" w:rsidRDefault="0068716F" w:rsidP="00404846">
      <w:pPr>
        <w:numPr>
          <w:ilvl w:val="0"/>
          <w:numId w:val="5"/>
        </w:numPr>
        <w:spacing w:after="0"/>
        <w:ind w:left="714" w:hanging="357"/>
        <w:jc w:val="both"/>
      </w:pPr>
      <w:r>
        <w:t>v</w:t>
      </w:r>
      <w:r w:rsidR="007E1F3A" w:rsidRPr="007E1F3A">
        <w:t>yvážení financování technologických oborů a SHUV (Společenské, Humanitní a</w:t>
      </w:r>
      <w:r w:rsidR="00E756E2">
        <w:t> </w:t>
      </w:r>
      <w:r w:rsidR="007E1F3A" w:rsidRPr="007E1F3A">
        <w:t>Umělecké vědy)</w:t>
      </w:r>
      <w:r>
        <w:t>,</w:t>
      </w:r>
      <w:r w:rsidR="007E1F3A" w:rsidRPr="007E1F3A">
        <w:t xml:space="preserve"> </w:t>
      </w:r>
    </w:p>
    <w:p w14:paraId="34384E3C" w14:textId="7234D952" w:rsidR="007E1F3A" w:rsidRDefault="0068716F" w:rsidP="00404846">
      <w:pPr>
        <w:numPr>
          <w:ilvl w:val="0"/>
          <w:numId w:val="5"/>
        </w:numPr>
        <w:spacing w:after="240"/>
        <w:ind w:left="714" w:hanging="357"/>
        <w:jc w:val="both"/>
      </w:pPr>
      <w:r>
        <w:t>z</w:t>
      </w:r>
      <w:r w:rsidR="007E1F3A" w:rsidRPr="007E1F3A">
        <w:t>apojení expertů z oblasti umění a humanitních věd do evaluačních a rozhodovacích struktur evropských výzkumných projektů.</w:t>
      </w:r>
    </w:p>
    <w:p w14:paraId="7135D48A" w14:textId="205F82D0" w:rsidR="005D305C" w:rsidRDefault="00890E1F" w:rsidP="005D305C">
      <w:pPr>
        <w:spacing w:after="240"/>
        <w:jc w:val="both"/>
        <w:rPr>
          <w:i/>
          <w:iCs/>
        </w:rPr>
      </w:pPr>
      <w:hyperlink r:id="rId27" w:history="1">
        <w:r>
          <w:rPr>
            <w:rStyle w:val="Hypertextovodkaz"/>
            <w:i/>
            <w:iCs/>
          </w:rPr>
          <w:t>Požadavky</w:t>
        </w:r>
      </w:hyperlink>
      <w:r w:rsidR="005D305C" w:rsidRPr="005D305C">
        <w:rPr>
          <w:i/>
          <w:iCs/>
        </w:rPr>
        <w:t xml:space="preserve"> organizace </w:t>
      </w:r>
      <w:proofErr w:type="spellStart"/>
      <w:r w:rsidR="005D305C" w:rsidRPr="005D305C">
        <w:rPr>
          <w:i/>
          <w:iCs/>
        </w:rPr>
        <w:t>European</w:t>
      </w:r>
      <w:proofErr w:type="spellEnd"/>
      <w:r w:rsidR="005D305C" w:rsidRPr="005D305C">
        <w:rPr>
          <w:i/>
          <w:iCs/>
        </w:rPr>
        <w:t xml:space="preserve"> </w:t>
      </w:r>
      <w:proofErr w:type="spellStart"/>
      <w:r w:rsidR="005D305C" w:rsidRPr="005D305C">
        <w:rPr>
          <w:i/>
          <w:iCs/>
        </w:rPr>
        <w:t>Alliance</w:t>
      </w:r>
      <w:proofErr w:type="spellEnd"/>
      <w:r w:rsidR="005D305C" w:rsidRPr="005D305C">
        <w:rPr>
          <w:i/>
          <w:iCs/>
        </w:rPr>
        <w:t xml:space="preserve"> </w:t>
      </w:r>
      <w:proofErr w:type="spellStart"/>
      <w:r w:rsidR="005D305C" w:rsidRPr="005D305C">
        <w:rPr>
          <w:i/>
          <w:iCs/>
        </w:rPr>
        <w:t>for</w:t>
      </w:r>
      <w:proofErr w:type="spellEnd"/>
      <w:r w:rsidR="005D305C" w:rsidRPr="005D305C">
        <w:rPr>
          <w:i/>
          <w:iCs/>
        </w:rPr>
        <w:t xml:space="preserve"> </w:t>
      </w:r>
      <w:proofErr w:type="spellStart"/>
      <w:r w:rsidR="005D305C" w:rsidRPr="005D305C">
        <w:rPr>
          <w:i/>
          <w:iCs/>
        </w:rPr>
        <w:t>Social</w:t>
      </w:r>
      <w:proofErr w:type="spellEnd"/>
      <w:r w:rsidR="005D305C" w:rsidRPr="005D305C">
        <w:rPr>
          <w:i/>
          <w:iCs/>
        </w:rPr>
        <w:t xml:space="preserve"> </w:t>
      </w:r>
      <w:proofErr w:type="spellStart"/>
      <w:r w:rsidR="005D305C" w:rsidRPr="005D305C">
        <w:rPr>
          <w:i/>
          <w:iCs/>
        </w:rPr>
        <w:t>Sciences</w:t>
      </w:r>
      <w:proofErr w:type="spellEnd"/>
      <w:r w:rsidR="005D305C" w:rsidRPr="005D305C">
        <w:rPr>
          <w:i/>
          <w:iCs/>
        </w:rPr>
        <w:t xml:space="preserve"> and </w:t>
      </w:r>
      <w:proofErr w:type="spellStart"/>
      <w:r w:rsidR="005D305C" w:rsidRPr="005D305C">
        <w:rPr>
          <w:i/>
          <w:iCs/>
        </w:rPr>
        <w:t>Humanities</w:t>
      </w:r>
      <w:proofErr w:type="spellEnd"/>
      <w:r w:rsidR="005D305C" w:rsidRPr="005D305C">
        <w:rPr>
          <w:i/>
          <w:iCs/>
        </w:rPr>
        <w:t xml:space="preserve"> (EASSH)</w:t>
      </w:r>
    </w:p>
    <w:p w14:paraId="5C18E53F" w14:textId="2A001A31" w:rsidR="005D305C" w:rsidRDefault="005D305C" w:rsidP="005D305C">
      <w:pPr>
        <w:spacing w:after="240"/>
        <w:jc w:val="both"/>
      </w:pPr>
      <w:r w:rsidRPr="005D305C">
        <w:t>EASSH</w:t>
      </w:r>
      <w:r w:rsidR="00890E1F">
        <w:t xml:space="preserve"> vyzývá k posílení výzkumu </w:t>
      </w:r>
      <w:r w:rsidR="0068716F">
        <w:t xml:space="preserve">v komponentě </w:t>
      </w:r>
      <w:r w:rsidR="00D30351">
        <w:t>Společnost</w:t>
      </w:r>
      <w:r w:rsidR="00890E1F">
        <w:t xml:space="preserve"> a podpoře následujících bodů:</w:t>
      </w:r>
    </w:p>
    <w:p w14:paraId="321F1017" w14:textId="3146EAEB" w:rsidR="00890E1F" w:rsidRDefault="00C31B9D" w:rsidP="00890E1F">
      <w:pPr>
        <w:pStyle w:val="Odstavecseseznamem"/>
        <w:numPr>
          <w:ilvl w:val="0"/>
          <w:numId w:val="12"/>
        </w:numPr>
        <w:spacing w:after="240"/>
        <w:jc w:val="both"/>
        <w:rPr>
          <w:rFonts w:ascii="Arial" w:hAnsi="Arial"/>
        </w:rPr>
      </w:pPr>
      <w:r>
        <w:rPr>
          <w:rFonts w:ascii="Arial" w:hAnsi="Arial"/>
        </w:rPr>
        <w:t xml:space="preserve">Společnost: </w:t>
      </w:r>
      <w:r w:rsidR="005802DE">
        <w:rPr>
          <w:rFonts w:ascii="Arial" w:hAnsi="Arial"/>
        </w:rPr>
        <w:t xml:space="preserve">V rámci politického okna Společnost se navrhuje pětice priorit: </w:t>
      </w:r>
      <w:r w:rsidR="005802DE" w:rsidRPr="005802DE">
        <w:rPr>
          <w:rFonts w:ascii="Arial" w:hAnsi="Arial"/>
        </w:rPr>
        <w:t>Demokracie, Vzdělávání a dovednosti, Evropa v roce 2040, Kultura a poznání, a</w:t>
      </w:r>
      <w:r>
        <w:rPr>
          <w:rFonts w:ascii="Arial" w:hAnsi="Arial"/>
        </w:rPr>
        <w:t> </w:t>
      </w:r>
      <w:r w:rsidR="005802DE" w:rsidRPr="005802DE">
        <w:rPr>
          <w:rFonts w:ascii="Arial" w:hAnsi="Arial"/>
        </w:rPr>
        <w:t>Produktivní a</w:t>
      </w:r>
      <w:r w:rsidR="005802DE">
        <w:rPr>
          <w:rFonts w:ascii="Arial" w:hAnsi="Arial"/>
        </w:rPr>
        <w:t> </w:t>
      </w:r>
      <w:r w:rsidR="005802DE" w:rsidRPr="005802DE">
        <w:rPr>
          <w:rFonts w:ascii="Arial" w:hAnsi="Arial"/>
        </w:rPr>
        <w:t>inkluzivní společnosti</w:t>
      </w:r>
      <w:r w:rsidR="0068716F">
        <w:rPr>
          <w:rFonts w:ascii="Arial" w:hAnsi="Arial"/>
        </w:rPr>
        <w:t>,</w:t>
      </w:r>
    </w:p>
    <w:p w14:paraId="3BDC8B81" w14:textId="2756F979" w:rsidR="00C31B9D" w:rsidRDefault="00C31B9D" w:rsidP="00890E1F">
      <w:pPr>
        <w:pStyle w:val="Odstavecseseznamem"/>
        <w:numPr>
          <w:ilvl w:val="0"/>
          <w:numId w:val="12"/>
        </w:numPr>
        <w:spacing w:after="240"/>
        <w:jc w:val="both"/>
        <w:rPr>
          <w:rFonts w:ascii="Arial" w:hAnsi="Arial"/>
        </w:rPr>
      </w:pPr>
      <w:r>
        <w:rPr>
          <w:rFonts w:ascii="Arial" w:hAnsi="Arial"/>
        </w:rPr>
        <w:t xml:space="preserve">Integrace: </w:t>
      </w:r>
      <w:r w:rsidRPr="00C31B9D">
        <w:rPr>
          <w:rFonts w:ascii="Arial" w:hAnsi="Arial"/>
        </w:rPr>
        <w:t xml:space="preserve">Je třeba podpořit princip </w:t>
      </w:r>
      <w:proofErr w:type="spellStart"/>
      <w:r w:rsidRPr="00C31B9D">
        <w:rPr>
          <w:rFonts w:ascii="Arial" w:hAnsi="Arial"/>
        </w:rPr>
        <w:t>multidisciplinarity</w:t>
      </w:r>
      <w:proofErr w:type="spellEnd"/>
      <w:r w:rsidRPr="00C31B9D">
        <w:rPr>
          <w:rFonts w:ascii="Arial" w:hAnsi="Arial"/>
        </w:rPr>
        <w:t xml:space="preserve"> a integrace </w:t>
      </w:r>
      <w:r>
        <w:rPr>
          <w:rFonts w:ascii="Arial" w:hAnsi="Arial"/>
        </w:rPr>
        <w:t>SHV</w:t>
      </w:r>
      <w:r w:rsidRPr="00C31B9D">
        <w:rPr>
          <w:rFonts w:ascii="Arial" w:hAnsi="Arial"/>
        </w:rPr>
        <w:t xml:space="preserve"> napříč celým programem</w:t>
      </w:r>
      <w:r>
        <w:rPr>
          <w:rFonts w:ascii="Arial" w:hAnsi="Arial"/>
        </w:rPr>
        <w:t xml:space="preserve">, </w:t>
      </w:r>
      <w:r w:rsidRPr="00C31B9D">
        <w:rPr>
          <w:rFonts w:ascii="Arial" w:hAnsi="Arial"/>
        </w:rPr>
        <w:t xml:space="preserve">včetně závazku k pravidelnému monitorování vědeckého přínosu </w:t>
      </w:r>
      <w:r>
        <w:rPr>
          <w:rFonts w:ascii="Arial" w:hAnsi="Arial"/>
        </w:rPr>
        <w:t>SHV</w:t>
      </w:r>
      <w:r w:rsidR="0068716F">
        <w:rPr>
          <w:rFonts w:ascii="Arial" w:hAnsi="Arial"/>
        </w:rPr>
        <w:t>,</w:t>
      </w:r>
    </w:p>
    <w:p w14:paraId="6EDAACF1" w14:textId="775EC0EE" w:rsidR="00C31B9D" w:rsidRPr="00890E1F" w:rsidRDefault="00C31B9D" w:rsidP="00890E1F">
      <w:pPr>
        <w:pStyle w:val="Odstavecseseznamem"/>
        <w:numPr>
          <w:ilvl w:val="0"/>
          <w:numId w:val="12"/>
        </w:numPr>
        <w:spacing w:after="240"/>
        <w:jc w:val="both"/>
        <w:rPr>
          <w:rFonts w:ascii="Arial" w:hAnsi="Arial"/>
        </w:rPr>
      </w:pPr>
      <w:r>
        <w:rPr>
          <w:rFonts w:ascii="Arial" w:hAnsi="Arial"/>
        </w:rPr>
        <w:t xml:space="preserve">Excelentní věda: </w:t>
      </w:r>
      <w:r w:rsidRPr="00C31B9D">
        <w:rPr>
          <w:rFonts w:ascii="Arial" w:hAnsi="Arial"/>
        </w:rPr>
        <w:t>Je zásadní zajistit podporu evropské výzkumné komunitě a posílit investice do ERC</w:t>
      </w:r>
      <w:r>
        <w:rPr>
          <w:rFonts w:ascii="Arial" w:hAnsi="Arial"/>
        </w:rPr>
        <w:t xml:space="preserve">, </w:t>
      </w:r>
      <w:r w:rsidRPr="00C31B9D">
        <w:rPr>
          <w:rFonts w:ascii="Arial" w:hAnsi="Arial"/>
        </w:rPr>
        <w:t xml:space="preserve">MSCA </w:t>
      </w:r>
      <w:r>
        <w:rPr>
          <w:rFonts w:ascii="Arial" w:hAnsi="Arial"/>
        </w:rPr>
        <w:t xml:space="preserve">a </w:t>
      </w:r>
      <w:r w:rsidRPr="00C31B9D">
        <w:rPr>
          <w:rFonts w:ascii="Arial" w:hAnsi="Arial"/>
        </w:rPr>
        <w:t>výzkumných infrastruktur.</w:t>
      </w:r>
    </w:p>
    <w:p w14:paraId="60E6A0F0" w14:textId="15D3A92E" w:rsidR="001573F1" w:rsidRPr="001573F1" w:rsidRDefault="001573F1" w:rsidP="001573F1">
      <w:pPr>
        <w:rPr>
          <w:b/>
          <w:bCs/>
        </w:rPr>
      </w:pPr>
      <w:r w:rsidRPr="001573F1">
        <w:rPr>
          <w:b/>
          <w:bCs/>
        </w:rPr>
        <w:lastRenderedPageBreak/>
        <w:t xml:space="preserve">Porovnání </w:t>
      </w:r>
      <w:r w:rsidR="001E619D">
        <w:rPr>
          <w:b/>
          <w:bCs/>
        </w:rPr>
        <w:t xml:space="preserve">prvků </w:t>
      </w:r>
      <w:r w:rsidRPr="001573F1">
        <w:rPr>
          <w:b/>
          <w:bCs/>
        </w:rPr>
        <w:t>Horizont</w:t>
      </w:r>
      <w:r w:rsidR="001E619D">
        <w:rPr>
          <w:b/>
          <w:bCs/>
        </w:rPr>
        <w:t>u</w:t>
      </w:r>
      <w:r w:rsidRPr="001573F1">
        <w:rPr>
          <w:b/>
          <w:bCs/>
        </w:rPr>
        <w:t xml:space="preserve"> Evropa a požadavků na FP10</w:t>
      </w:r>
    </w:p>
    <w:tbl>
      <w:tblPr>
        <w:tblStyle w:val="Barevntabulkaseznamu7"/>
        <w:tblW w:w="5000" w:type="pct"/>
        <w:tblLook w:val="04A0" w:firstRow="1" w:lastRow="0" w:firstColumn="1" w:lastColumn="0" w:noHBand="0" w:noVBand="1"/>
      </w:tblPr>
      <w:tblGrid>
        <w:gridCol w:w="3441"/>
        <w:gridCol w:w="2513"/>
        <w:gridCol w:w="93"/>
        <w:gridCol w:w="3025"/>
      </w:tblGrid>
      <w:tr w:rsidR="001573F1" w:rsidRPr="001573F1" w14:paraId="0615F92E" w14:textId="77777777" w:rsidTr="001573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96" w:type="pct"/>
            <w:hideMark/>
          </w:tcPr>
          <w:p w14:paraId="0AB8EEE5" w14:textId="77777777" w:rsidR="001573F1" w:rsidRPr="001573F1" w:rsidRDefault="001573F1" w:rsidP="001573F1">
            <w:p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1573F1">
              <w:rPr>
                <w:rFonts w:ascii="Arial" w:hAnsi="Arial" w:cs="Arial"/>
                <w:b/>
                <w:bCs/>
                <w:sz w:val="22"/>
                <w:szCs w:val="18"/>
              </w:rPr>
              <w:t>Oblast</w:t>
            </w:r>
          </w:p>
        </w:tc>
        <w:tc>
          <w:tcPr>
            <w:tcW w:w="1385" w:type="pct"/>
            <w:vAlign w:val="center"/>
            <w:hideMark/>
          </w:tcPr>
          <w:p w14:paraId="73B18A66" w14:textId="77777777" w:rsidR="001573F1" w:rsidRPr="001573F1" w:rsidRDefault="001573F1" w:rsidP="001573F1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1573F1">
              <w:rPr>
                <w:rFonts w:ascii="Arial" w:hAnsi="Arial" w:cs="Arial"/>
                <w:b/>
                <w:bCs/>
                <w:sz w:val="22"/>
                <w:szCs w:val="18"/>
              </w:rPr>
              <w:t>Horizont Evropa</w:t>
            </w:r>
          </w:p>
        </w:tc>
        <w:tc>
          <w:tcPr>
            <w:tcW w:w="1718" w:type="pct"/>
            <w:gridSpan w:val="2"/>
            <w:vAlign w:val="center"/>
            <w:hideMark/>
          </w:tcPr>
          <w:p w14:paraId="7D1768A2" w14:textId="77777777" w:rsidR="001573F1" w:rsidRPr="001573F1" w:rsidRDefault="001573F1" w:rsidP="001573F1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1573F1">
              <w:rPr>
                <w:rFonts w:ascii="Arial" w:hAnsi="Arial" w:cs="Arial"/>
                <w:b/>
                <w:bCs/>
                <w:sz w:val="22"/>
                <w:szCs w:val="18"/>
              </w:rPr>
              <w:t xml:space="preserve">Navrhované posuny </w:t>
            </w:r>
            <w:proofErr w:type="gramStart"/>
            <w:r w:rsidRPr="001573F1">
              <w:rPr>
                <w:rFonts w:ascii="Arial" w:hAnsi="Arial" w:cs="Arial"/>
                <w:b/>
                <w:bCs/>
                <w:sz w:val="22"/>
                <w:szCs w:val="18"/>
              </w:rPr>
              <w:t>v</w:t>
            </w:r>
            <w:proofErr w:type="gramEnd"/>
            <w:r w:rsidRPr="001573F1">
              <w:rPr>
                <w:rFonts w:ascii="Arial" w:hAnsi="Arial" w:cs="Arial"/>
                <w:b/>
                <w:bCs/>
                <w:sz w:val="22"/>
                <w:szCs w:val="18"/>
              </w:rPr>
              <w:t xml:space="preserve"> FP10</w:t>
            </w:r>
          </w:p>
        </w:tc>
      </w:tr>
      <w:tr w:rsidR="001573F1" w:rsidRPr="001573F1" w14:paraId="24FBE396" w14:textId="77777777" w:rsidTr="00BA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  <w:vAlign w:val="center"/>
            <w:hideMark/>
          </w:tcPr>
          <w:p w14:paraId="14050399" w14:textId="77777777" w:rsidR="001573F1" w:rsidRPr="001573F1" w:rsidRDefault="001573F1" w:rsidP="001573F1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1573F1">
              <w:rPr>
                <w:rFonts w:ascii="Arial" w:hAnsi="Arial" w:cs="Arial"/>
                <w:sz w:val="22"/>
                <w:szCs w:val="18"/>
              </w:rPr>
              <w:t>Zvláštní klastr nebo financování</w:t>
            </w:r>
          </w:p>
        </w:tc>
        <w:tc>
          <w:tcPr>
            <w:tcW w:w="1436" w:type="pct"/>
            <w:gridSpan w:val="2"/>
            <w:vAlign w:val="center"/>
            <w:hideMark/>
          </w:tcPr>
          <w:p w14:paraId="1F67CCAA" w14:textId="232866EC" w:rsidR="001573F1" w:rsidRPr="001573F1" w:rsidRDefault="001573F1" w:rsidP="00BA2D9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73F1">
              <w:t>SHV často integrován</w:t>
            </w:r>
            <w:r w:rsidR="0068716F">
              <w:t>y</w:t>
            </w:r>
            <w:r w:rsidRPr="001573F1">
              <w:t xml:space="preserve"> jako část širších oblastí</w:t>
            </w:r>
          </w:p>
        </w:tc>
        <w:tc>
          <w:tcPr>
            <w:tcW w:w="1667" w:type="pct"/>
            <w:vAlign w:val="center"/>
            <w:hideMark/>
          </w:tcPr>
          <w:p w14:paraId="6C23658E" w14:textId="467328DD" w:rsidR="001573F1" w:rsidRPr="001573F1" w:rsidRDefault="001573F1" w:rsidP="00BA2D9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73F1">
              <w:t>Požadavky na dedikované SHV financování a klastr pro</w:t>
            </w:r>
            <w:r>
              <w:t> </w:t>
            </w:r>
            <w:r w:rsidRPr="001573F1">
              <w:t>kulturu a společnost</w:t>
            </w:r>
          </w:p>
        </w:tc>
      </w:tr>
      <w:tr w:rsidR="001573F1" w:rsidRPr="001573F1" w14:paraId="4D9B5BED" w14:textId="77777777" w:rsidTr="00BA2D9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  <w:vAlign w:val="center"/>
            <w:hideMark/>
          </w:tcPr>
          <w:p w14:paraId="6E56B3A7" w14:textId="77777777" w:rsidR="001573F1" w:rsidRPr="001573F1" w:rsidRDefault="001573F1" w:rsidP="001573F1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1573F1">
              <w:rPr>
                <w:rFonts w:ascii="Arial" w:hAnsi="Arial" w:cs="Arial"/>
                <w:sz w:val="22"/>
                <w:szCs w:val="18"/>
              </w:rPr>
              <w:t>Interdisciplinarita</w:t>
            </w:r>
          </w:p>
        </w:tc>
        <w:tc>
          <w:tcPr>
            <w:tcW w:w="1436" w:type="pct"/>
            <w:gridSpan w:val="2"/>
            <w:vAlign w:val="center"/>
            <w:hideMark/>
          </w:tcPr>
          <w:p w14:paraId="0F36F66C" w14:textId="77777777" w:rsidR="001573F1" w:rsidRPr="001573F1" w:rsidRDefault="001573F1" w:rsidP="00BA2D9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73F1">
              <w:t>Začlenění SHV formou „SHV-</w:t>
            </w:r>
            <w:proofErr w:type="spellStart"/>
            <w:r w:rsidRPr="001573F1">
              <w:t>flagged</w:t>
            </w:r>
            <w:proofErr w:type="spellEnd"/>
            <w:r w:rsidRPr="001573F1">
              <w:t>“ témat</w:t>
            </w:r>
          </w:p>
        </w:tc>
        <w:tc>
          <w:tcPr>
            <w:tcW w:w="1667" w:type="pct"/>
            <w:vAlign w:val="center"/>
            <w:hideMark/>
          </w:tcPr>
          <w:p w14:paraId="4A983E50" w14:textId="77777777" w:rsidR="001573F1" w:rsidRPr="001573F1" w:rsidRDefault="001573F1" w:rsidP="00BA2D9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73F1">
              <w:t>Větší propojení technologických a SHV disciplín, nové formáty výzev</w:t>
            </w:r>
          </w:p>
        </w:tc>
      </w:tr>
      <w:tr w:rsidR="001573F1" w:rsidRPr="001573F1" w14:paraId="60C1287D" w14:textId="77777777" w:rsidTr="00BA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  <w:vAlign w:val="center"/>
            <w:hideMark/>
          </w:tcPr>
          <w:p w14:paraId="5C227D45" w14:textId="77777777" w:rsidR="001573F1" w:rsidRPr="001573F1" w:rsidRDefault="001573F1" w:rsidP="001573F1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1573F1">
              <w:rPr>
                <w:rFonts w:ascii="Arial" w:hAnsi="Arial" w:cs="Arial"/>
                <w:sz w:val="22"/>
                <w:szCs w:val="18"/>
              </w:rPr>
              <w:t>Participace SHV</w:t>
            </w:r>
          </w:p>
        </w:tc>
        <w:tc>
          <w:tcPr>
            <w:tcW w:w="1436" w:type="pct"/>
            <w:gridSpan w:val="2"/>
            <w:vAlign w:val="center"/>
            <w:hideMark/>
          </w:tcPr>
          <w:p w14:paraId="322CA8AB" w14:textId="7B96D7FC" w:rsidR="001573F1" w:rsidRPr="001573F1" w:rsidRDefault="001573F1" w:rsidP="00BA2D9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73F1">
              <w:t>Omezenější vliv v</w:t>
            </w:r>
            <w:r w:rsidR="00BA2D98">
              <w:t> </w:t>
            </w:r>
            <w:r w:rsidRPr="001573F1">
              <w:t>evaluačních panelech</w:t>
            </w:r>
          </w:p>
        </w:tc>
        <w:tc>
          <w:tcPr>
            <w:tcW w:w="1667" w:type="pct"/>
            <w:vAlign w:val="center"/>
            <w:hideMark/>
          </w:tcPr>
          <w:p w14:paraId="764F7179" w14:textId="14EE6C7A" w:rsidR="001573F1" w:rsidRPr="001573F1" w:rsidRDefault="001573F1" w:rsidP="00BA2D9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73F1">
              <w:t>Více zástupců SHV v</w:t>
            </w:r>
            <w:r>
              <w:t> </w:t>
            </w:r>
            <w:r w:rsidRPr="001573F1">
              <w:t>rozhodovacích strukturách (ERC, EIT apod.)</w:t>
            </w:r>
          </w:p>
        </w:tc>
      </w:tr>
      <w:tr w:rsidR="001573F1" w:rsidRPr="001573F1" w14:paraId="6258CE7A" w14:textId="77777777" w:rsidTr="00BA2D9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  <w:vAlign w:val="center"/>
            <w:hideMark/>
          </w:tcPr>
          <w:p w14:paraId="6D3B3539" w14:textId="77777777" w:rsidR="001573F1" w:rsidRPr="001573F1" w:rsidRDefault="001573F1" w:rsidP="001573F1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1573F1">
              <w:rPr>
                <w:rFonts w:ascii="Arial" w:hAnsi="Arial" w:cs="Arial"/>
                <w:sz w:val="22"/>
                <w:szCs w:val="18"/>
              </w:rPr>
              <w:t>Implementační přístup k výzkumu</w:t>
            </w:r>
          </w:p>
        </w:tc>
        <w:tc>
          <w:tcPr>
            <w:tcW w:w="1436" w:type="pct"/>
            <w:gridSpan w:val="2"/>
            <w:vAlign w:val="center"/>
            <w:hideMark/>
          </w:tcPr>
          <w:p w14:paraId="1375C88A" w14:textId="77777777" w:rsidR="001573F1" w:rsidRPr="001573F1" w:rsidRDefault="001573F1" w:rsidP="00BA2D9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73F1">
              <w:t>Standardní výzvy (větší, technologicky orientované)</w:t>
            </w:r>
          </w:p>
        </w:tc>
        <w:tc>
          <w:tcPr>
            <w:tcW w:w="1667" w:type="pct"/>
            <w:vAlign w:val="center"/>
            <w:hideMark/>
          </w:tcPr>
          <w:p w14:paraId="289B214A" w14:textId="77777777" w:rsidR="001573F1" w:rsidRPr="001573F1" w:rsidRDefault="001573F1" w:rsidP="00BA2D9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73F1">
              <w:t>Podpora menších konsorcií, nižších TRL, jednodušší evaluace</w:t>
            </w:r>
          </w:p>
        </w:tc>
      </w:tr>
      <w:tr w:rsidR="001573F1" w:rsidRPr="001573F1" w14:paraId="523500DC" w14:textId="77777777" w:rsidTr="00BA2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6" w:type="pct"/>
            <w:vAlign w:val="center"/>
            <w:hideMark/>
          </w:tcPr>
          <w:p w14:paraId="03F5F9D0" w14:textId="77777777" w:rsidR="001573F1" w:rsidRPr="001573F1" w:rsidRDefault="001573F1" w:rsidP="001573F1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1573F1">
              <w:rPr>
                <w:rFonts w:ascii="Arial" w:hAnsi="Arial" w:cs="Arial"/>
                <w:sz w:val="22"/>
                <w:szCs w:val="18"/>
              </w:rPr>
              <w:t>Finance a viditelnost</w:t>
            </w:r>
          </w:p>
        </w:tc>
        <w:tc>
          <w:tcPr>
            <w:tcW w:w="1436" w:type="pct"/>
            <w:gridSpan w:val="2"/>
            <w:vAlign w:val="center"/>
            <w:hideMark/>
          </w:tcPr>
          <w:p w14:paraId="0E7D4BB9" w14:textId="7FAE9141" w:rsidR="001573F1" w:rsidRPr="001573F1" w:rsidRDefault="001573F1" w:rsidP="00BA2D9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73F1">
              <w:t>SHV inkluze, ale bez</w:t>
            </w:r>
            <w:r w:rsidR="00BA2D98">
              <w:t> </w:t>
            </w:r>
            <w:r w:rsidRPr="001573F1">
              <w:t>výraznějšího rozpočtového označení</w:t>
            </w:r>
          </w:p>
        </w:tc>
        <w:tc>
          <w:tcPr>
            <w:tcW w:w="1667" w:type="pct"/>
            <w:vAlign w:val="center"/>
            <w:hideMark/>
          </w:tcPr>
          <w:p w14:paraId="77CEC3A8" w14:textId="58C16244" w:rsidR="001573F1" w:rsidRPr="001573F1" w:rsidRDefault="001573F1" w:rsidP="00BA2D9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73F1">
              <w:t>Apely na zvýšený rozpočet pro SHV, jasná viditelnost v</w:t>
            </w:r>
            <w:r>
              <w:t> </w:t>
            </w:r>
            <w:r w:rsidRPr="001573F1">
              <w:t>programu</w:t>
            </w:r>
          </w:p>
        </w:tc>
      </w:tr>
    </w:tbl>
    <w:p w14:paraId="31E4A1FE" w14:textId="298204DA" w:rsidR="00671725" w:rsidRDefault="001573F1" w:rsidP="00671725">
      <w:pPr>
        <w:spacing w:after="240"/>
        <w:rPr>
          <w:i/>
          <w:iCs/>
          <w:sz w:val="20"/>
          <w:szCs w:val="20"/>
        </w:rPr>
      </w:pPr>
      <w:r w:rsidRPr="001573F1">
        <w:rPr>
          <w:i/>
          <w:iCs/>
          <w:sz w:val="20"/>
          <w:szCs w:val="20"/>
        </w:rPr>
        <w:t>Zdroj: TC Praha</w:t>
      </w:r>
    </w:p>
    <w:p w14:paraId="34AD9218" w14:textId="7081CF1F" w:rsidR="00C660E5" w:rsidRPr="00727909" w:rsidRDefault="00C660E5" w:rsidP="008A08A5">
      <w:pPr>
        <w:pStyle w:val="Nadpis1"/>
      </w:pPr>
      <w:bookmarkStart w:id="4" w:name="_Toc213405198"/>
      <w:r w:rsidRPr="00727909">
        <w:t>Specifika</w:t>
      </w:r>
      <w:r w:rsidR="00173F03">
        <w:t xml:space="preserve"> </w:t>
      </w:r>
      <w:r w:rsidRPr="00727909">
        <w:t xml:space="preserve">oborové evidence </w:t>
      </w:r>
      <w:r w:rsidR="003433ED">
        <w:t>Horizon Dashboard</w:t>
      </w:r>
      <w:r w:rsidR="00EF05F9">
        <w:t xml:space="preserve"> a </w:t>
      </w:r>
      <w:proofErr w:type="spellStart"/>
      <w:r w:rsidR="00790E14">
        <w:t>e</w:t>
      </w:r>
      <w:r w:rsidR="00EF05F9">
        <w:t>CORD</w:t>
      </w:r>
      <w:r w:rsidR="00790E14">
        <w:t>A</w:t>
      </w:r>
      <w:bookmarkEnd w:id="4"/>
      <w:proofErr w:type="spellEnd"/>
    </w:p>
    <w:p w14:paraId="4D74CA9B" w14:textId="255A1618" w:rsidR="00EF05F9" w:rsidRPr="00BE6CAB" w:rsidRDefault="00EF05F9" w:rsidP="00D05D74">
      <w:pPr>
        <w:pStyle w:val="Odstavecseseznamem"/>
        <w:numPr>
          <w:ilvl w:val="0"/>
          <w:numId w:val="2"/>
        </w:numPr>
        <w:spacing w:after="120"/>
        <w:ind w:left="284" w:hanging="283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 xml:space="preserve">V databázích Horizon Dashboard a </w:t>
      </w:r>
      <w:proofErr w:type="spellStart"/>
      <w:r w:rsidR="00BA2D98">
        <w:rPr>
          <w:rFonts w:ascii="Arial" w:eastAsia="Times New Roman" w:hAnsi="Arial" w:cs="Arial"/>
          <w:lang w:eastAsia="cs-CZ"/>
        </w:rPr>
        <w:t>e</w:t>
      </w:r>
      <w:r w:rsidRPr="00BE6CAB">
        <w:rPr>
          <w:rFonts w:ascii="Arial" w:eastAsia="Times New Roman" w:hAnsi="Arial" w:cs="Arial"/>
          <w:lang w:eastAsia="cs-CZ"/>
        </w:rPr>
        <w:t>CORD</w:t>
      </w:r>
      <w:r w:rsidR="00BA2D98">
        <w:rPr>
          <w:rFonts w:ascii="Arial" w:eastAsia="Times New Roman" w:hAnsi="Arial" w:cs="Arial"/>
          <w:lang w:eastAsia="cs-CZ"/>
        </w:rPr>
        <w:t>a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 jsou namísto struktury oborů FORD používána tematická označení (tagy) projektů odvozené z ontologie 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EuroSciVoc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, což </w:t>
      </w:r>
      <w:r w:rsidRPr="00BE6CAB">
        <w:rPr>
          <w:rFonts w:ascii="Arial" w:eastAsia="Times New Roman" w:hAnsi="Arial" w:cs="Arial"/>
          <w:lang w:eastAsia="cs-CZ"/>
        </w:rPr>
        <w:t>je</w:t>
      </w:r>
      <w:r w:rsidR="008A08A5">
        <w:rPr>
          <w:rFonts w:ascii="Arial" w:eastAsia="Times New Roman" w:hAnsi="Arial" w:cs="Arial"/>
          <w:lang w:eastAsia="cs-CZ"/>
        </w:rPr>
        <w:t> </w:t>
      </w:r>
      <w:r w:rsidRPr="00BE6CAB">
        <w:rPr>
          <w:rFonts w:ascii="Arial" w:eastAsia="Times New Roman" w:hAnsi="Arial" w:cs="Arial"/>
          <w:lang w:eastAsia="cs-CZ"/>
        </w:rPr>
        <w:t>vícejazyčný tezaurus vyvinutý Evropskou komisí, který slouží k</w:t>
      </w:r>
      <w:r w:rsidR="00BE074F" w:rsidRPr="00BE6CAB">
        <w:rPr>
          <w:rFonts w:ascii="Arial" w:eastAsia="Times New Roman" w:hAnsi="Arial" w:cs="Arial"/>
          <w:lang w:eastAsia="cs-CZ"/>
        </w:rPr>
        <w:t>e</w:t>
      </w:r>
      <w:r w:rsidR="00A511DA">
        <w:rPr>
          <w:rFonts w:ascii="Arial" w:eastAsia="Times New Roman" w:hAnsi="Arial" w:cs="Arial"/>
          <w:lang w:eastAsia="cs-CZ"/>
        </w:rPr>
        <w:t> </w:t>
      </w:r>
      <w:r w:rsidRPr="00BE6CAB">
        <w:rPr>
          <w:rFonts w:ascii="Arial" w:eastAsia="Times New Roman" w:hAnsi="Arial" w:cs="Arial"/>
          <w:lang w:eastAsia="cs-CZ"/>
        </w:rPr>
        <w:t>klasifikaci vědeckých oblastí v projektech financovaných EU</w:t>
      </w:r>
      <w:r w:rsidR="00BE074F" w:rsidRPr="00BE6CAB">
        <w:rPr>
          <w:rFonts w:ascii="Arial" w:eastAsia="Times New Roman" w:hAnsi="Arial" w:cs="Arial"/>
          <w:lang w:eastAsia="cs-CZ"/>
        </w:rPr>
        <w:t>.</w:t>
      </w:r>
      <w:r w:rsidR="00BE6CAB" w:rsidRPr="00BE6CAB">
        <w:rPr>
          <w:rFonts w:ascii="Arial" w:eastAsia="Times New Roman" w:hAnsi="Arial" w:cs="Arial"/>
          <w:lang w:eastAsia="cs-CZ"/>
        </w:rPr>
        <w:t xml:space="preserve"> Má tři úrovně, 1.</w:t>
      </w:r>
      <w:r w:rsidR="00A511DA">
        <w:rPr>
          <w:rFonts w:ascii="Arial" w:eastAsia="Times New Roman" w:hAnsi="Arial" w:cs="Arial"/>
          <w:lang w:eastAsia="cs-CZ"/>
        </w:rPr>
        <w:t> </w:t>
      </w:r>
      <w:r w:rsidR="00BE6CAB" w:rsidRPr="00BE6CAB">
        <w:rPr>
          <w:rFonts w:ascii="Arial" w:eastAsia="Times New Roman" w:hAnsi="Arial" w:cs="Arial"/>
          <w:lang w:eastAsia="cs-CZ"/>
        </w:rPr>
        <w:t>–</w:t>
      </w:r>
      <w:r w:rsidR="00A511DA">
        <w:rPr>
          <w:rFonts w:ascii="Arial" w:eastAsia="Times New Roman" w:hAnsi="Arial" w:cs="Arial"/>
          <w:lang w:eastAsia="cs-CZ"/>
        </w:rPr>
        <w:t> </w:t>
      </w:r>
      <w:r w:rsidR="00BE6CAB" w:rsidRPr="00BE6CAB">
        <w:rPr>
          <w:rFonts w:ascii="Arial" w:eastAsia="Times New Roman" w:hAnsi="Arial" w:cs="Arial"/>
          <w:lang w:eastAsia="cs-CZ"/>
        </w:rPr>
        <w:t>6</w:t>
      </w:r>
      <w:r w:rsidR="00A511DA">
        <w:rPr>
          <w:rFonts w:ascii="Arial" w:eastAsia="Times New Roman" w:hAnsi="Arial" w:cs="Arial"/>
          <w:lang w:eastAsia="cs-CZ"/>
        </w:rPr>
        <w:t> </w:t>
      </w:r>
      <w:r w:rsidR="00BE6CAB" w:rsidRPr="00BE6CAB">
        <w:rPr>
          <w:rFonts w:ascii="Arial" w:eastAsia="Times New Roman" w:hAnsi="Arial" w:cs="Arial"/>
          <w:lang w:eastAsia="cs-CZ"/>
        </w:rPr>
        <w:t>základních skupin věd, 2. – 9 oborů SHV, 3. – 37 oborů SHV.</w:t>
      </w:r>
    </w:p>
    <w:p w14:paraId="445649E0" w14:textId="0543EA27" w:rsidR="00BE6CAB" w:rsidRPr="00BE6CAB" w:rsidRDefault="00BE6CAB" w:rsidP="00D05D74">
      <w:pPr>
        <w:pStyle w:val="Odstavecseseznamem"/>
        <w:numPr>
          <w:ilvl w:val="0"/>
          <w:numId w:val="2"/>
        </w:numPr>
        <w:spacing w:after="120"/>
        <w:ind w:left="284" w:hanging="283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 xml:space="preserve">Databáze Evropské komise </w:t>
      </w:r>
      <w:proofErr w:type="spellStart"/>
      <w:r w:rsidRPr="00BE6CAB">
        <w:rPr>
          <w:rFonts w:ascii="Arial" w:eastAsia="Times New Roman" w:hAnsi="Arial" w:cs="Arial"/>
          <w:lang w:eastAsia="cs-CZ"/>
        </w:rPr>
        <w:t>eCORD</w:t>
      </w:r>
      <w:r w:rsidR="00BA2D98">
        <w:rPr>
          <w:rFonts w:ascii="Arial" w:eastAsia="Times New Roman" w:hAnsi="Arial" w:cs="Arial"/>
          <w:lang w:eastAsia="cs-CZ"/>
        </w:rPr>
        <w:t>A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 uvádí vědní obory pouze u vybraných priorit (ERC, MSCA, Rozšiřování účasti), u II. pilíře obory chybí.</w:t>
      </w:r>
    </w:p>
    <w:p w14:paraId="5555FA9F" w14:textId="7904E922" w:rsidR="00BE074F" w:rsidRPr="00BE6CAB" w:rsidRDefault="00BE6CAB" w:rsidP="00D05D74">
      <w:pPr>
        <w:pStyle w:val="Odstavecseseznamem"/>
        <w:numPr>
          <w:ilvl w:val="0"/>
          <w:numId w:val="2"/>
        </w:numPr>
        <w:spacing w:after="120"/>
        <w:ind w:left="284" w:hanging="283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>Databáze Horizon Dashboard operuje</w:t>
      </w:r>
      <w:r w:rsidR="00BE074F" w:rsidRPr="00BE6CAB">
        <w:rPr>
          <w:rFonts w:ascii="Arial" w:eastAsia="Times New Roman" w:hAnsi="Arial" w:cs="Arial"/>
          <w:lang w:eastAsia="cs-CZ"/>
        </w:rPr>
        <w:t xml:space="preserve"> </w:t>
      </w:r>
      <w:r w:rsidR="000C72C8">
        <w:rPr>
          <w:rFonts w:ascii="Arial" w:eastAsia="Times New Roman" w:hAnsi="Arial" w:cs="Arial"/>
          <w:lang w:eastAsia="cs-CZ"/>
        </w:rPr>
        <w:t>na</w:t>
      </w:r>
      <w:r w:rsidR="00BE074F" w:rsidRPr="00BE6CAB">
        <w:rPr>
          <w:rFonts w:ascii="Arial" w:eastAsia="Times New Roman" w:hAnsi="Arial" w:cs="Arial"/>
          <w:lang w:eastAsia="cs-CZ"/>
        </w:rPr>
        <w:t> 1. úrovn</w:t>
      </w:r>
      <w:r w:rsidR="000C72C8">
        <w:rPr>
          <w:rFonts w:ascii="Arial" w:eastAsia="Times New Roman" w:hAnsi="Arial" w:cs="Arial"/>
          <w:lang w:eastAsia="cs-CZ"/>
        </w:rPr>
        <w:t>i</w:t>
      </w:r>
      <w:r w:rsidR="00BE074F" w:rsidRPr="00BE6CAB">
        <w:rPr>
          <w:rFonts w:ascii="Arial" w:eastAsia="Times New Roman" w:hAnsi="Arial" w:cs="Arial"/>
          <w:lang w:eastAsia="cs-CZ"/>
        </w:rPr>
        <w:t xml:space="preserve"> klasifikace 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EuroSciVoc</w:t>
      </w:r>
      <w:proofErr w:type="spellEnd"/>
      <w:r w:rsidR="000C72C8">
        <w:rPr>
          <w:rFonts w:ascii="Arial" w:eastAsia="Times New Roman" w:hAnsi="Arial" w:cs="Arial"/>
          <w:lang w:eastAsia="cs-CZ"/>
        </w:rPr>
        <w:t xml:space="preserve"> s f</w:t>
      </w:r>
      <w:r w:rsidR="00BE074F" w:rsidRPr="00BE6CAB">
        <w:rPr>
          <w:rFonts w:ascii="Arial" w:eastAsia="Times New Roman" w:hAnsi="Arial" w:cs="Arial"/>
          <w:lang w:eastAsia="cs-CZ"/>
        </w:rPr>
        <w:t>iltry „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Social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Sciences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>“ a „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Humanities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>“</w:t>
      </w:r>
      <w:r w:rsidR="000C72C8">
        <w:rPr>
          <w:rFonts w:ascii="Arial" w:eastAsia="Times New Roman" w:hAnsi="Arial" w:cs="Arial"/>
          <w:lang w:eastAsia="cs-CZ"/>
        </w:rPr>
        <w:t>, které lze</w:t>
      </w:r>
      <w:r w:rsidRPr="00BE6CAB">
        <w:rPr>
          <w:rFonts w:ascii="Arial" w:eastAsia="Times New Roman" w:hAnsi="Arial" w:cs="Arial"/>
          <w:lang w:eastAsia="cs-CZ"/>
        </w:rPr>
        <w:t xml:space="preserve"> </w:t>
      </w:r>
      <w:r w:rsidR="00BE074F" w:rsidRPr="00BE6CAB">
        <w:rPr>
          <w:rFonts w:ascii="Arial" w:eastAsia="Times New Roman" w:hAnsi="Arial" w:cs="Arial"/>
          <w:lang w:eastAsia="cs-CZ"/>
        </w:rPr>
        <w:t>považovat za praktický ekvivalent k oborům FORD5</w:t>
      </w:r>
      <w:r w:rsidR="000C72C8">
        <w:rPr>
          <w:rFonts w:ascii="Arial" w:eastAsia="Times New Roman" w:hAnsi="Arial" w:cs="Arial"/>
          <w:lang w:eastAsia="cs-CZ"/>
        </w:rPr>
        <w:t> 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Social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Sciences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 (Společenské vědy) a </w:t>
      </w:r>
      <w:r w:rsidR="000C72C8">
        <w:rPr>
          <w:rFonts w:ascii="Arial" w:eastAsia="Times New Roman" w:hAnsi="Arial" w:cs="Arial"/>
          <w:lang w:eastAsia="cs-CZ"/>
        </w:rPr>
        <w:t>FORD</w:t>
      </w:r>
      <w:r w:rsidR="00BE074F" w:rsidRPr="00BE6CAB">
        <w:rPr>
          <w:rFonts w:ascii="Arial" w:eastAsia="Times New Roman" w:hAnsi="Arial" w:cs="Arial"/>
          <w:lang w:eastAsia="cs-CZ"/>
        </w:rPr>
        <w:t xml:space="preserve">6 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Humanities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>, resp. 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Humanities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 and</w:t>
      </w:r>
      <w:r w:rsidRPr="00BE6CAB">
        <w:rPr>
          <w:rFonts w:ascii="Arial" w:eastAsia="Times New Roman" w:hAnsi="Arial" w:cs="Arial"/>
          <w:lang w:eastAsia="cs-CZ"/>
        </w:rPr>
        <w:t> 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the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BE074F" w:rsidRPr="00BE6CAB">
        <w:rPr>
          <w:rFonts w:ascii="Arial" w:eastAsia="Times New Roman" w:hAnsi="Arial" w:cs="Arial"/>
          <w:lang w:eastAsia="cs-CZ"/>
        </w:rPr>
        <w:t>Arts</w:t>
      </w:r>
      <w:proofErr w:type="spellEnd"/>
      <w:r w:rsidR="00BE074F" w:rsidRPr="00BE6CAB">
        <w:rPr>
          <w:rFonts w:ascii="Arial" w:eastAsia="Times New Roman" w:hAnsi="Arial" w:cs="Arial"/>
          <w:lang w:eastAsia="cs-CZ"/>
        </w:rPr>
        <w:t xml:space="preserve"> (Humanitní vědy).</w:t>
      </w:r>
      <w:r w:rsidR="00170448" w:rsidRPr="00BE6CAB">
        <w:rPr>
          <w:rFonts w:ascii="Arial" w:eastAsia="Times New Roman" w:hAnsi="Arial" w:cs="Arial"/>
          <w:lang w:eastAsia="cs-CZ"/>
        </w:rPr>
        <w:t xml:space="preserve"> Z uvedeného důvodu ne</w:t>
      </w:r>
      <w:r w:rsidR="006F37F6" w:rsidRPr="00BE6CAB">
        <w:rPr>
          <w:rFonts w:ascii="Arial" w:eastAsia="Times New Roman" w:hAnsi="Arial" w:cs="Arial"/>
          <w:lang w:eastAsia="cs-CZ"/>
        </w:rPr>
        <w:t>ní</w:t>
      </w:r>
      <w:r w:rsidR="00170448" w:rsidRPr="00BE6CAB">
        <w:rPr>
          <w:rFonts w:ascii="Arial" w:eastAsia="Times New Roman" w:hAnsi="Arial" w:cs="Arial"/>
          <w:lang w:eastAsia="cs-CZ"/>
        </w:rPr>
        <w:t xml:space="preserve"> nutné vytvářet převodník.</w:t>
      </w:r>
    </w:p>
    <w:p w14:paraId="429A8F89" w14:textId="097799C3" w:rsidR="008065A0" w:rsidRPr="00BE6CAB" w:rsidRDefault="008065A0" w:rsidP="00D05D74">
      <w:pPr>
        <w:pStyle w:val="Odstavecseseznamem"/>
        <w:numPr>
          <w:ilvl w:val="0"/>
          <w:numId w:val="2"/>
        </w:numPr>
        <w:spacing w:after="120"/>
        <w:ind w:left="284" w:hanging="283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 xml:space="preserve">Projekty kategorizované dle </w:t>
      </w:r>
      <w:proofErr w:type="spellStart"/>
      <w:r w:rsidRPr="00BE6CAB">
        <w:rPr>
          <w:rFonts w:ascii="Arial" w:eastAsia="Times New Roman" w:hAnsi="Arial" w:cs="Arial"/>
          <w:lang w:eastAsia="cs-CZ"/>
        </w:rPr>
        <w:t>EuroSciVoc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 mohou být označeny více tagy (např.</w:t>
      </w:r>
      <w:r w:rsidR="00170448" w:rsidRPr="00BE6CAB">
        <w:rPr>
          <w:rFonts w:ascii="Arial" w:eastAsia="Times New Roman" w:hAnsi="Arial" w:cs="Arial"/>
          <w:lang w:eastAsia="cs-CZ"/>
        </w:rPr>
        <w:t> </w:t>
      </w:r>
      <w:proofErr w:type="spellStart"/>
      <w:r w:rsidRPr="00BE6CAB">
        <w:rPr>
          <w:rFonts w:ascii="Arial" w:eastAsia="Times New Roman" w:hAnsi="Arial" w:cs="Arial"/>
          <w:lang w:eastAsia="cs-CZ"/>
        </w:rPr>
        <w:t>Social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 Innovation + </w:t>
      </w:r>
      <w:proofErr w:type="spellStart"/>
      <w:r w:rsidRPr="00BE6CAB">
        <w:rPr>
          <w:rFonts w:ascii="Arial" w:eastAsia="Times New Roman" w:hAnsi="Arial" w:cs="Arial"/>
          <w:lang w:eastAsia="cs-CZ"/>
        </w:rPr>
        <w:t>Cultural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BE6CAB">
        <w:rPr>
          <w:rFonts w:ascii="Arial" w:eastAsia="Times New Roman" w:hAnsi="Arial" w:cs="Arial"/>
          <w:lang w:eastAsia="cs-CZ"/>
        </w:rPr>
        <w:t>Heritage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), což poskytuje více flexibilní, aktuální a interdisciplinární pohled než FORD, </w:t>
      </w:r>
      <w:r w:rsidR="00170448" w:rsidRPr="00BE6CAB">
        <w:rPr>
          <w:rFonts w:ascii="Arial" w:eastAsia="Times New Roman" w:hAnsi="Arial" w:cs="Arial"/>
          <w:lang w:eastAsia="cs-CZ"/>
        </w:rPr>
        <w:t xml:space="preserve">také může obsahovat specifická témata, která by FORD oborově nespojoval (např. Gender </w:t>
      </w:r>
      <w:proofErr w:type="spellStart"/>
      <w:r w:rsidR="00170448" w:rsidRPr="00BE6CAB">
        <w:rPr>
          <w:rFonts w:ascii="Arial" w:eastAsia="Times New Roman" w:hAnsi="Arial" w:cs="Arial"/>
          <w:lang w:eastAsia="cs-CZ"/>
        </w:rPr>
        <w:t>Equality</w:t>
      </w:r>
      <w:proofErr w:type="spellEnd"/>
      <w:r w:rsidR="00170448" w:rsidRPr="00BE6CAB">
        <w:rPr>
          <w:rFonts w:ascii="Arial" w:eastAsia="Times New Roman" w:hAnsi="Arial" w:cs="Arial"/>
          <w:lang w:eastAsia="cs-CZ"/>
        </w:rPr>
        <w:t xml:space="preserve"> + </w:t>
      </w:r>
      <w:proofErr w:type="spellStart"/>
      <w:r w:rsidR="00170448" w:rsidRPr="00BE6CAB">
        <w:rPr>
          <w:rFonts w:ascii="Arial" w:eastAsia="Times New Roman" w:hAnsi="Arial" w:cs="Arial"/>
          <w:lang w:eastAsia="cs-CZ"/>
        </w:rPr>
        <w:t>Social</w:t>
      </w:r>
      <w:proofErr w:type="spellEnd"/>
      <w:r w:rsidR="00170448" w:rsidRPr="00BE6CAB">
        <w:rPr>
          <w:rFonts w:ascii="Arial" w:eastAsia="Times New Roman" w:hAnsi="Arial" w:cs="Arial"/>
          <w:lang w:eastAsia="cs-CZ"/>
        </w:rPr>
        <w:t xml:space="preserve"> Innovation). </w:t>
      </w:r>
      <w:proofErr w:type="spellStart"/>
      <w:r w:rsidR="00170448" w:rsidRPr="00BE6CAB">
        <w:rPr>
          <w:rFonts w:ascii="Arial" w:eastAsia="Times New Roman" w:hAnsi="Arial" w:cs="Arial"/>
          <w:lang w:eastAsia="cs-CZ"/>
        </w:rPr>
        <w:t>EuroSciVoc</w:t>
      </w:r>
      <w:proofErr w:type="spellEnd"/>
      <w:r w:rsidR="00170448" w:rsidRPr="00BE6CAB">
        <w:rPr>
          <w:rFonts w:ascii="Arial" w:eastAsia="Times New Roman" w:hAnsi="Arial" w:cs="Arial"/>
          <w:lang w:eastAsia="cs-CZ"/>
        </w:rPr>
        <w:t xml:space="preserve"> je dynamický, vyvíjí se</w:t>
      </w:r>
      <w:r w:rsidR="000C72C8">
        <w:rPr>
          <w:rFonts w:ascii="Arial" w:eastAsia="Times New Roman" w:hAnsi="Arial" w:cs="Arial"/>
          <w:lang w:eastAsia="cs-CZ"/>
        </w:rPr>
        <w:t> </w:t>
      </w:r>
      <w:r w:rsidR="00170448" w:rsidRPr="00BE6CAB">
        <w:rPr>
          <w:rFonts w:ascii="Arial" w:eastAsia="Times New Roman" w:hAnsi="Arial" w:cs="Arial"/>
          <w:lang w:eastAsia="cs-CZ"/>
        </w:rPr>
        <w:t xml:space="preserve">s každou výzvou, naproti tomu FORD je statický, určený primárně pro reporting </w:t>
      </w:r>
      <w:proofErr w:type="spellStart"/>
      <w:r w:rsidR="00170448" w:rsidRPr="00BE6CAB">
        <w:rPr>
          <w:rFonts w:ascii="Arial" w:eastAsia="Times New Roman" w:hAnsi="Arial" w:cs="Arial"/>
          <w:lang w:eastAsia="cs-CZ"/>
        </w:rPr>
        <w:t>VaVaI</w:t>
      </w:r>
      <w:proofErr w:type="spellEnd"/>
      <w:r w:rsidR="00170448" w:rsidRPr="00BE6CAB">
        <w:rPr>
          <w:rFonts w:ascii="Arial" w:eastAsia="Times New Roman" w:hAnsi="Arial" w:cs="Arial"/>
          <w:lang w:eastAsia="cs-CZ"/>
        </w:rPr>
        <w:t>.</w:t>
      </w:r>
    </w:p>
    <w:p w14:paraId="60B42F42" w14:textId="59B9FA4E" w:rsidR="004A53D8" w:rsidRPr="00BE6CAB" w:rsidRDefault="00DC6090" w:rsidP="00D05D74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 xml:space="preserve">Statistiky </w:t>
      </w:r>
      <w:r w:rsidR="004A53D8" w:rsidRPr="00BE6CAB">
        <w:rPr>
          <w:rFonts w:ascii="Arial" w:eastAsia="Times New Roman" w:hAnsi="Arial" w:cs="Arial"/>
          <w:lang w:eastAsia="cs-CZ"/>
        </w:rPr>
        <w:t>nemusí vždy přesně zachytit interdisciplinární charakter projektů nebo skutečný dopad SHV, protože klasifikace závisí na údajích uvedených při podání projektové žádosti.</w:t>
      </w:r>
    </w:p>
    <w:p w14:paraId="0D5AE9F9" w14:textId="77777777" w:rsidR="005F6B45" w:rsidRPr="00BE6CAB" w:rsidRDefault="004A53D8" w:rsidP="00D05D74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>Některé výsledky mohou být ovlivněny zpožděním v aktualizaci dat či odlišnou interpretací klasifikačních systémů napříč státy</w:t>
      </w:r>
      <w:r w:rsidR="00DC6090" w:rsidRPr="00BE6CAB">
        <w:rPr>
          <w:rFonts w:ascii="Arial" w:eastAsia="Times New Roman" w:hAnsi="Arial" w:cs="Arial"/>
          <w:lang w:eastAsia="cs-CZ"/>
        </w:rPr>
        <w:t>.</w:t>
      </w:r>
    </w:p>
    <w:p w14:paraId="3717C006" w14:textId="6B7EEEAE" w:rsidR="005F6B45" w:rsidRPr="00BE6CAB" w:rsidRDefault="005F6B45" w:rsidP="00D05D74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 xml:space="preserve">V projektech zařazených do více oborů není zřejmé, jaké aktivity (resp. v jakých oborech) realizují </w:t>
      </w:r>
      <w:proofErr w:type="spellStart"/>
      <w:r w:rsidRPr="00BE6CAB">
        <w:rPr>
          <w:rFonts w:ascii="Arial" w:eastAsia="Times New Roman" w:hAnsi="Arial" w:cs="Arial"/>
          <w:lang w:eastAsia="cs-CZ"/>
        </w:rPr>
        <w:t>VaVaI</w:t>
      </w:r>
      <w:proofErr w:type="spellEnd"/>
      <w:r w:rsidRPr="00BE6CAB">
        <w:rPr>
          <w:rFonts w:ascii="Arial" w:eastAsia="Times New Roman" w:hAnsi="Arial" w:cs="Arial"/>
          <w:lang w:eastAsia="cs-CZ"/>
        </w:rPr>
        <w:t xml:space="preserve"> čeští účastníci.</w:t>
      </w:r>
    </w:p>
    <w:p w14:paraId="6E3A7360" w14:textId="21079B52" w:rsidR="00671725" w:rsidRDefault="005F6B45" w:rsidP="00671725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t>Ve statistikách jsou zahrnuty i společnosti, které se zbývají pouze projektovým managementem</w:t>
      </w:r>
      <w:r w:rsidR="00046295">
        <w:rPr>
          <w:rFonts w:ascii="Arial" w:eastAsia="Times New Roman" w:hAnsi="Arial" w:cs="Arial"/>
          <w:lang w:eastAsia="cs-CZ"/>
        </w:rPr>
        <w:t>.</w:t>
      </w:r>
    </w:p>
    <w:p w14:paraId="73B7FAFA" w14:textId="77777777" w:rsidR="00671725" w:rsidRPr="00671725" w:rsidRDefault="00671725" w:rsidP="00671725">
      <w:pPr>
        <w:spacing w:after="120"/>
        <w:jc w:val="both"/>
        <w:rPr>
          <w:rFonts w:eastAsia="Times New Roman" w:cs="Arial"/>
          <w:lang w:eastAsia="cs-CZ"/>
        </w:rPr>
      </w:pPr>
    </w:p>
    <w:p w14:paraId="2F100530" w14:textId="5237E7D3" w:rsidR="00671725" w:rsidRPr="00BE6CAB" w:rsidRDefault="00671725" w:rsidP="00671725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BE6CAB">
        <w:rPr>
          <w:rFonts w:ascii="Arial" w:eastAsia="Times New Roman" w:hAnsi="Arial" w:cs="Arial"/>
          <w:lang w:eastAsia="cs-CZ"/>
        </w:rPr>
        <w:lastRenderedPageBreak/>
        <w:t>Srovnávací tabulka:</w:t>
      </w:r>
    </w:p>
    <w:tbl>
      <w:tblPr>
        <w:tblStyle w:val="Barevntabulkaseznamu7"/>
        <w:tblW w:w="0" w:type="auto"/>
        <w:tblLook w:val="04A0" w:firstRow="1" w:lastRow="0" w:firstColumn="1" w:lastColumn="0" w:noHBand="0" w:noVBand="1"/>
      </w:tblPr>
      <w:tblGrid>
        <w:gridCol w:w="1560"/>
        <w:gridCol w:w="3397"/>
        <w:gridCol w:w="4115"/>
      </w:tblGrid>
      <w:tr w:rsidR="00671725" w:rsidRPr="00AD665A" w14:paraId="2107221D" w14:textId="77777777" w:rsidTr="004A4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vAlign w:val="center"/>
            <w:hideMark/>
          </w:tcPr>
          <w:p w14:paraId="14A3BF22" w14:textId="77777777" w:rsidR="00671725" w:rsidRPr="006F37F6" w:rsidRDefault="00671725" w:rsidP="004A40D2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6F37F6">
              <w:rPr>
                <w:rFonts w:ascii="Arial" w:hAnsi="Arial" w:cs="Arial"/>
                <w:b/>
                <w:bCs/>
                <w:sz w:val="22"/>
                <w:szCs w:val="18"/>
              </w:rPr>
              <w:t>Kritérium</w:t>
            </w:r>
          </w:p>
        </w:tc>
        <w:tc>
          <w:tcPr>
            <w:tcW w:w="3397" w:type="dxa"/>
            <w:vAlign w:val="center"/>
            <w:hideMark/>
          </w:tcPr>
          <w:p w14:paraId="68E833C5" w14:textId="77777777" w:rsidR="00671725" w:rsidRPr="006F37F6" w:rsidRDefault="00671725" w:rsidP="004A40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6F37F6">
              <w:rPr>
                <w:rFonts w:ascii="Arial" w:hAnsi="Arial" w:cs="Arial"/>
                <w:b/>
                <w:bCs/>
                <w:sz w:val="22"/>
                <w:szCs w:val="18"/>
              </w:rPr>
              <w:t>FORD</w:t>
            </w:r>
          </w:p>
        </w:tc>
        <w:tc>
          <w:tcPr>
            <w:tcW w:w="0" w:type="auto"/>
            <w:vAlign w:val="center"/>
            <w:hideMark/>
          </w:tcPr>
          <w:p w14:paraId="2F170427" w14:textId="77777777" w:rsidR="00671725" w:rsidRPr="006F37F6" w:rsidRDefault="00671725" w:rsidP="004A40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18"/>
              </w:rPr>
            </w:pPr>
            <w:proofErr w:type="spellStart"/>
            <w:r w:rsidRPr="006F37F6">
              <w:rPr>
                <w:rFonts w:ascii="Arial" w:hAnsi="Arial" w:cs="Arial"/>
                <w:b/>
                <w:bCs/>
                <w:sz w:val="22"/>
                <w:szCs w:val="18"/>
              </w:rPr>
              <w:t>EuroSciVoc</w:t>
            </w:r>
            <w:proofErr w:type="spellEnd"/>
          </w:p>
        </w:tc>
      </w:tr>
      <w:tr w:rsidR="00671725" w:rsidRPr="00AD665A" w14:paraId="10096525" w14:textId="77777777" w:rsidTr="004A4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  <w:hideMark/>
          </w:tcPr>
          <w:p w14:paraId="29B47320" w14:textId="77777777" w:rsidR="00671725" w:rsidRPr="006F37F6" w:rsidRDefault="00671725" w:rsidP="004A40D2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6F37F6">
              <w:rPr>
                <w:rFonts w:ascii="Arial" w:hAnsi="Arial" w:cs="Arial"/>
                <w:sz w:val="22"/>
                <w:szCs w:val="18"/>
              </w:rPr>
              <w:t>Účel</w:t>
            </w:r>
          </w:p>
        </w:tc>
        <w:tc>
          <w:tcPr>
            <w:tcW w:w="3397" w:type="dxa"/>
            <w:vAlign w:val="center"/>
            <w:hideMark/>
          </w:tcPr>
          <w:p w14:paraId="0AB15C22" w14:textId="77777777" w:rsidR="00671725" w:rsidRPr="00AD665A" w:rsidRDefault="00671725" w:rsidP="004A40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65A">
              <w:t xml:space="preserve">Statistická klasifikace </w:t>
            </w:r>
            <w:proofErr w:type="spellStart"/>
            <w:r>
              <w:t>VaVaI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283F18" w14:textId="77777777" w:rsidR="00671725" w:rsidRPr="00AD665A" w:rsidRDefault="00671725" w:rsidP="004A40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65A">
              <w:t>Tematická klasifikace výzkumných projektů EU</w:t>
            </w:r>
          </w:p>
        </w:tc>
      </w:tr>
      <w:tr w:rsidR="00671725" w:rsidRPr="00AD665A" w14:paraId="3D6EAE32" w14:textId="77777777" w:rsidTr="004A4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  <w:hideMark/>
          </w:tcPr>
          <w:p w14:paraId="537A05B8" w14:textId="77777777" w:rsidR="00671725" w:rsidRPr="006F37F6" w:rsidRDefault="00671725" w:rsidP="004A40D2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6F37F6">
              <w:rPr>
                <w:rFonts w:ascii="Arial" w:hAnsi="Arial" w:cs="Arial"/>
                <w:sz w:val="22"/>
                <w:szCs w:val="18"/>
              </w:rPr>
              <w:t>Typ</w:t>
            </w:r>
          </w:p>
        </w:tc>
        <w:tc>
          <w:tcPr>
            <w:tcW w:w="3397" w:type="dxa"/>
            <w:vAlign w:val="center"/>
            <w:hideMark/>
          </w:tcPr>
          <w:p w14:paraId="0B3A566A" w14:textId="77777777" w:rsidR="00671725" w:rsidRPr="00AD665A" w:rsidRDefault="00671725" w:rsidP="004A40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665A">
              <w:t>Oborový, rigidní</w:t>
            </w:r>
          </w:p>
        </w:tc>
        <w:tc>
          <w:tcPr>
            <w:tcW w:w="0" w:type="auto"/>
            <w:vAlign w:val="center"/>
            <w:hideMark/>
          </w:tcPr>
          <w:p w14:paraId="5811C991" w14:textId="77777777" w:rsidR="00671725" w:rsidRPr="00AD665A" w:rsidRDefault="00671725" w:rsidP="004A40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665A">
              <w:t>Dynamický, založený na tématech</w:t>
            </w:r>
          </w:p>
        </w:tc>
      </w:tr>
      <w:tr w:rsidR="00671725" w:rsidRPr="00AD665A" w14:paraId="3F4BF14E" w14:textId="77777777" w:rsidTr="004A4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  <w:hideMark/>
          </w:tcPr>
          <w:p w14:paraId="5A1D8AEE" w14:textId="77777777" w:rsidR="00671725" w:rsidRPr="006F37F6" w:rsidRDefault="00671725" w:rsidP="004A40D2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6F37F6">
              <w:rPr>
                <w:rFonts w:ascii="Arial" w:hAnsi="Arial" w:cs="Arial"/>
                <w:sz w:val="22"/>
                <w:szCs w:val="18"/>
              </w:rPr>
              <w:t>Používá se v</w:t>
            </w:r>
          </w:p>
        </w:tc>
        <w:tc>
          <w:tcPr>
            <w:tcW w:w="3397" w:type="dxa"/>
            <w:vAlign w:val="center"/>
            <w:hideMark/>
          </w:tcPr>
          <w:p w14:paraId="3A67B357" w14:textId="77777777" w:rsidR="00671725" w:rsidRPr="00AD665A" w:rsidRDefault="00671725" w:rsidP="004A40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65A">
              <w:t>RIV, statistiky ČSÚ, OECD, ERA</w:t>
            </w:r>
          </w:p>
        </w:tc>
        <w:tc>
          <w:tcPr>
            <w:tcW w:w="0" w:type="auto"/>
            <w:vAlign w:val="center"/>
            <w:hideMark/>
          </w:tcPr>
          <w:p w14:paraId="3757D325" w14:textId="77777777" w:rsidR="00671725" w:rsidRPr="00AD665A" w:rsidRDefault="00671725" w:rsidP="004A40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65A">
              <w:t xml:space="preserve">CORDIS, Horizon </w:t>
            </w:r>
            <w:proofErr w:type="spellStart"/>
            <w:r w:rsidRPr="00AD665A">
              <w:t>Europe</w:t>
            </w:r>
            <w:proofErr w:type="spellEnd"/>
          </w:p>
        </w:tc>
      </w:tr>
      <w:tr w:rsidR="00671725" w:rsidRPr="00AD665A" w14:paraId="012C70A5" w14:textId="77777777" w:rsidTr="004A4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  <w:hideMark/>
          </w:tcPr>
          <w:p w14:paraId="5F752662" w14:textId="77777777" w:rsidR="00671725" w:rsidRPr="006F37F6" w:rsidRDefault="00671725" w:rsidP="004A40D2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6F37F6">
              <w:rPr>
                <w:rFonts w:ascii="Arial" w:hAnsi="Arial" w:cs="Arial"/>
                <w:sz w:val="22"/>
                <w:szCs w:val="18"/>
              </w:rPr>
              <w:t>Počet kategorií</w:t>
            </w:r>
          </w:p>
        </w:tc>
        <w:tc>
          <w:tcPr>
            <w:tcW w:w="3397" w:type="dxa"/>
            <w:vAlign w:val="center"/>
            <w:hideMark/>
          </w:tcPr>
          <w:p w14:paraId="2C4E70C5" w14:textId="77777777" w:rsidR="00671725" w:rsidRPr="00AD665A" w:rsidRDefault="00671725" w:rsidP="004A40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665A">
              <w:t>42 oborů</w:t>
            </w:r>
          </w:p>
        </w:tc>
        <w:tc>
          <w:tcPr>
            <w:tcW w:w="0" w:type="auto"/>
            <w:vAlign w:val="center"/>
            <w:hideMark/>
          </w:tcPr>
          <w:p w14:paraId="5848F002" w14:textId="77777777" w:rsidR="00671725" w:rsidRPr="00AD665A" w:rsidRDefault="00671725" w:rsidP="004A40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</w:t>
            </w:r>
            <w:r w:rsidRPr="00AD665A">
              <w:t>3 000 pojmů</w:t>
            </w:r>
          </w:p>
        </w:tc>
      </w:tr>
      <w:tr w:rsidR="00671725" w:rsidRPr="00AD665A" w14:paraId="2359529A" w14:textId="77777777" w:rsidTr="004A40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  <w:hideMark/>
          </w:tcPr>
          <w:p w14:paraId="20EA1D58" w14:textId="77777777" w:rsidR="00671725" w:rsidRPr="006F37F6" w:rsidRDefault="00671725" w:rsidP="004A40D2">
            <w:pPr>
              <w:spacing w:after="0"/>
              <w:jc w:val="left"/>
              <w:rPr>
                <w:rFonts w:ascii="Arial" w:hAnsi="Arial" w:cs="Arial"/>
                <w:sz w:val="22"/>
                <w:szCs w:val="18"/>
              </w:rPr>
            </w:pPr>
            <w:r w:rsidRPr="006F37F6">
              <w:rPr>
                <w:rFonts w:ascii="Arial" w:hAnsi="Arial" w:cs="Arial"/>
                <w:sz w:val="22"/>
                <w:szCs w:val="18"/>
              </w:rPr>
              <w:t>Oblast SHV</w:t>
            </w:r>
          </w:p>
        </w:tc>
        <w:tc>
          <w:tcPr>
            <w:tcW w:w="3397" w:type="dxa"/>
            <w:vAlign w:val="center"/>
            <w:hideMark/>
          </w:tcPr>
          <w:p w14:paraId="507483AC" w14:textId="77777777" w:rsidR="00671725" w:rsidRPr="00AD665A" w:rsidRDefault="00671725" w:rsidP="004A40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Pr="00AD665A">
              <w:t xml:space="preserve">polečenské </w:t>
            </w:r>
            <w:r>
              <w:t>a h</w:t>
            </w:r>
            <w:r w:rsidRPr="00AD665A">
              <w:t>umanitní</w:t>
            </w:r>
            <w:r>
              <w:t xml:space="preserve"> </w:t>
            </w:r>
            <w:r w:rsidRPr="00AD665A">
              <w:t>vědy jako jedn</w:t>
            </w:r>
            <w:r>
              <w:t>y</w:t>
            </w:r>
            <w:r w:rsidRPr="00AD665A">
              <w:t xml:space="preserve"> ze 6 hlavních</w:t>
            </w:r>
            <w:r>
              <w:t xml:space="preserve"> </w:t>
            </w:r>
            <w:r w:rsidRPr="00AD665A">
              <w:t>kategorií</w:t>
            </w:r>
          </w:p>
        </w:tc>
        <w:tc>
          <w:tcPr>
            <w:tcW w:w="0" w:type="auto"/>
            <w:vAlign w:val="center"/>
            <w:hideMark/>
          </w:tcPr>
          <w:p w14:paraId="20EC4680" w14:textId="77777777" w:rsidR="00671725" w:rsidRPr="00AD665A" w:rsidRDefault="00671725" w:rsidP="004A40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65A">
              <w:t>Rozpad do specifických témat (např. sociální začleňování, kulturní dědictví)</w:t>
            </w:r>
          </w:p>
        </w:tc>
      </w:tr>
    </w:tbl>
    <w:p w14:paraId="34C296F7" w14:textId="77777777" w:rsidR="00671725" w:rsidRDefault="00671725" w:rsidP="00671725">
      <w:pPr>
        <w:spacing w:before="120" w:after="120"/>
        <w:jc w:val="both"/>
        <w:rPr>
          <w:rFonts w:eastAsia="Times New Roman" w:cs="Arial"/>
          <w:i/>
          <w:iCs/>
          <w:sz w:val="20"/>
          <w:szCs w:val="20"/>
          <w:lang w:eastAsia="cs-CZ"/>
        </w:rPr>
      </w:pPr>
      <w:r w:rsidRPr="001573F1">
        <w:rPr>
          <w:rFonts w:eastAsia="Times New Roman" w:cs="Arial"/>
          <w:i/>
          <w:iCs/>
          <w:sz w:val="20"/>
          <w:szCs w:val="20"/>
          <w:lang w:eastAsia="cs-CZ"/>
        </w:rPr>
        <w:t>Zdroj: vlastní zpracování</w:t>
      </w:r>
    </w:p>
    <w:p w14:paraId="3A226B34" w14:textId="632DFA25" w:rsidR="00671725" w:rsidRDefault="00671725">
      <w:pPr>
        <w:spacing w:after="160" w:line="259" w:lineRule="auto"/>
        <w:rPr>
          <w:rFonts w:eastAsia="Times New Roman" w:cs="Arial"/>
          <w:lang w:eastAsia="cs-CZ"/>
        </w:rPr>
      </w:pPr>
    </w:p>
    <w:p w14:paraId="75E23D7F" w14:textId="77777777" w:rsidR="00671725" w:rsidRDefault="00671725">
      <w:pPr>
        <w:spacing w:after="160" w:line="259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br w:type="page"/>
      </w:r>
    </w:p>
    <w:p w14:paraId="325385AF" w14:textId="600B3C51" w:rsidR="00CB0B2A" w:rsidRDefault="00CB0B2A" w:rsidP="008A08A5">
      <w:pPr>
        <w:pStyle w:val="Nadpis1"/>
      </w:pPr>
      <w:bookmarkStart w:id="5" w:name="_Toc213405199"/>
      <w:r>
        <w:lastRenderedPageBreak/>
        <w:t>Zdroje</w:t>
      </w:r>
      <w:bookmarkEnd w:id="5"/>
    </w:p>
    <w:p w14:paraId="68604484" w14:textId="07611440" w:rsidR="00B26FFC" w:rsidRPr="00134C80" w:rsidRDefault="00B26FFC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CULTURE ACTION EUROPE.</w:t>
      </w:r>
      <w:r w:rsidRPr="00B26FFC">
        <w:rPr>
          <w:rFonts w:ascii="Arial" w:hAnsi="Arial" w:cs="Arial"/>
          <w:sz w:val="20"/>
          <w:szCs w:val="20"/>
        </w:rPr>
        <w:t xml:space="preserve"> </w:t>
      </w:r>
      <w:r w:rsidRPr="00B26FFC">
        <w:rPr>
          <w:rFonts w:ascii="Arial" w:hAnsi="Arial" w:cs="Arial"/>
          <w:i/>
          <w:iCs/>
          <w:sz w:val="20"/>
          <w:szCs w:val="20"/>
        </w:rPr>
        <w:t xml:space="preserve">Horizon FP10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on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the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Role in</w:t>
      </w:r>
      <w:r w:rsidR="00134C80">
        <w:rPr>
          <w:rFonts w:ascii="Arial" w:hAnsi="Arial" w:cs="Arial"/>
          <w:i/>
          <w:iCs/>
          <w:sz w:val="20"/>
          <w:szCs w:val="20"/>
        </w:rPr>
        <w:t> 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the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Next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EU Framework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Research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and Innovation</w:t>
      </w:r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Brussels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sz w:val="20"/>
          <w:szCs w:val="20"/>
        </w:rPr>
        <w:t>Culture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Action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Europe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, červen 2024. Dostupné z: </w:t>
      </w:r>
      <w:hyperlink r:id="rId28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https://cultureactioneurope.org/wp-content/uploads/2024/06/Horizon-FP10-position-paper-1.pdf</w:t>
        </w:r>
      </w:hyperlink>
    </w:p>
    <w:p w14:paraId="2B09AFEC" w14:textId="0C27A7E2" w:rsidR="00B26FFC" w:rsidRDefault="00B26FFC" w:rsidP="00671725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EVROPSKÁ KOMISE.</w:t>
      </w:r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Integration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of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social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sciences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humanities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in Horizon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Europe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First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monitoring report on SSH-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flagged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projects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funded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under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Pillar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II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of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Horizon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Europe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>: 2021–2023</w:t>
      </w:r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Luxembourg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sz w:val="20"/>
          <w:szCs w:val="20"/>
        </w:rPr>
        <w:t>Publications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Office </w:t>
      </w:r>
      <w:proofErr w:type="spellStart"/>
      <w:r w:rsidRPr="00B26FFC">
        <w:rPr>
          <w:rFonts w:ascii="Arial" w:hAnsi="Arial" w:cs="Arial"/>
          <w:sz w:val="20"/>
          <w:szCs w:val="20"/>
        </w:rPr>
        <w:t>of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the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European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Union, 2025. ISBN 978-92-68-23772-4. DOI: 10.2777/6733555. Dostupné z: </w:t>
      </w:r>
      <w:hyperlink r:id="rId29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https://op.europa.eu/cs/publication-detail/-/publication/6cf8db13-62bb-11f0-bf4e-01aa75ed71a1/language-en</w:t>
        </w:r>
      </w:hyperlink>
    </w:p>
    <w:p w14:paraId="6B846161" w14:textId="2D47D706" w:rsidR="00B26FFC" w:rsidRPr="00B26FFC" w:rsidRDefault="00B26FFC" w:rsidP="00B26FFC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hyperlink r:id="rId30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Horizon Dashboard</w:t>
        </w:r>
      </w:hyperlink>
      <w:r w:rsidRPr="00B26FFC">
        <w:rPr>
          <w:rFonts w:ascii="Arial" w:hAnsi="Arial" w:cs="Arial"/>
          <w:sz w:val="20"/>
          <w:szCs w:val="20"/>
        </w:rPr>
        <w:t>, export 6. 11. 2025</w:t>
      </w:r>
    </w:p>
    <w:p w14:paraId="18C5F2C5" w14:textId="4B5E1627" w:rsidR="00B26FFC" w:rsidRPr="00B26FFC" w:rsidRDefault="00B26FFC" w:rsidP="00B26FFC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EARMA.</w:t>
      </w:r>
      <w:r w:rsidRPr="00B26FFC">
        <w:rPr>
          <w:rFonts w:ascii="Arial" w:hAnsi="Arial" w:cs="Arial"/>
          <w:sz w:val="20"/>
          <w:szCs w:val="20"/>
        </w:rPr>
        <w:t xml:space="preserve"> </w:t>
      </w:r>
      <w:r w:rsidRPr="00B26FFC">
        <w:rPr>
          <w:rFonts w:ascii="Arial" w:hAnsi="Arial" w:cs="Arial"/>
          <w:i/>
          <w:iCs/>
          <w:sz w:val="20"/>
          <w:szCs w:val="20"/>
        </w:rPr>
        <w:t xml:space="preserve">10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Recommendations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FP10: EARMA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Brussels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sz w:val="20"/>
          <w:szCs w:val="20"/>
        </w:rPr>
        <w:t>European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Association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of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Research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Managers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26FFC">
        <w:rPr>
          <w:rFonts w:ascii="Arial" w:hAnsi="Arial" w:cs="Arial"/>
          <w:sz w:val="20"/>
          <w:szCs w:val="20"/>
        </w:rPr>
        <w:t>Administrators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, 2024. Dostupné z: </w:t>
      </w:r>
      <w:hyperlink r:id="rId31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https://earma.org/media/documents/earma-position-paper-10-recommendations-for-fp10.pdf</w:t>
        </w:r>
      </w:hyperlink>
    </w:p>
    <w:p w14:paraId="23AF1E2B" w14:textId="7CFF24D6" w:rsidR="00B26FFC" w:rsidRDefault="00B26FFC" w:rsidP="00B26FFC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EASSH.</w:t>
      </w:r>
      <w:r w:rsidRPr="00B26FFC">
        <w:rPr>
          <w:rFonts w:ascii="Arial" w:hAnsi="Arial" w:cs="Arial"/>
          <w:sz w:val="20"/>
          <w:szCs w:val="20"/>
        </w:rPr>
        <w:t xml:space="preserve"> </w:t>
      </w:r>
      <w:r w:rsidRPr="00B26FFC">
        <w:rPr>
          <w:rFonts w:ascii="Arial" w:hAnsi="Arial" w:cs="Arial"/>
          <w:i/>
          <w:iCs/>
          <w:sz w:val="20"/>
          <w:szCs w:val="20"/>
        </w:rPr>
        <w:t xml:space="preserve">Society in FP10: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Proposal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is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Research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on Society –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Brussels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sz w:val="20"/>
          <w:szCs w:val="20"/>
        </w:rPr>
        <w:t>European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Alliance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Social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Sciences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26FFC">
        <w:rPr>
          <w:rFonts w:ascii="Arial" w:hAnsi="Arial" w:cs="Arial"/>
          <w:sz w:val="20"/>
          <w:szCs w:val="20"/>
        </w:rPr>
        <w:t>Humanities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, září 2025. Dostupné z: </w:t>
      </w:r>
      <w:hyperlink r:id="rId32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https://eassh.eu/Position-Papers/2025/EASSH-Sept-2025-Society-in-FP10-proposal-is-for-research-on-society.pdf</w:t>
        </w:r>
      </w:hyperlink>
    </w:p>
    <w:p w14:paraId="167A86A7" w14:textId="2C12E646" w:rsidR="00134C80" w:rsidRDefault="00B26FFC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i/>
          <w:iCs/>
          <w:sz w:val="20"/>
          <w:szCs w:val="20"/>
        </w:rPr>
        <w:t xml:space="preserve">Joint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: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Social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Sciences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Humanities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in FP10</w:t>
      </w:r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Brussels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LERU, 2024. Dostupné z: </w:t>
      </w:r>
      <w:hyperlink r:id="rId33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https://www.leru.org/files/Joint-position-paper_SSH-in-FP10.pdf</w:t>
        </w:r>
      </w:hyperlink>
    </w:p>
    <w:p w14:paraId="1FD28FB8" w14:textId="2CA02364" w:rsidR="00B26FFC" w:rsidRPr="00134C80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134C80">
        <w:rPr>
          <w:rFonts w:ascii="Arial" w:hAnsi="Arial" w:cs="Arial"/>
          <w:sz w:val="20"/>
          <w:szCs w:val="20"/>
        </w:rPr>
        <w:t xml:space="preserve">Nařízení Evropského parlamentu a Rady (EU) 2021/695 ze dne 28. dubna 2021, kterým se zavádí rámcový program pro výzkum a inovace Horizont Evropa a stanoví pravidla pro účast a šíření výsledků, a zrušují nařízení (EU) č. 1290/2013 a (EU) č. 1291/2013. </w:t>
      </w:r>
      <w:r w:rsidRPr="00134C80">
        <w:rPr>
          <w:rFonts w:ascii="Arial" w:hAnsi="Arial" w:cs="Arial"/>
          <w:i/>
          <w:iCs/>
          <w:sz w:val="20"/>
          <w:szCs w:val="20"/>
        </w:rPr>
        <w:t>Úřední věstník Evropské unie</w:t>
      </w:r>
      <w:r w:rsidRPr="00134C80">
        <w:rPr>
          <w:rFonts w:ascii="Arial" w:hAnsi="Arial" w:cs="Arial"/>
          <w:sz w:val="20"/>
          <w:szCs w:val="20"/>
        </w:rPr>
        <w:t xml:space="preserve">, L 170, 12. 5. 2021, s. 1–68. Dostupné z: </w:t>
      </w:r>
      <w:hyperlink r:id="rId34" w:history="1">
        <w:r w:rsidRPr="00134C80">
          <w:rPr>
            <w:rStyle w:val="Hypertextovodkaz"/>
            <w:rFonts w:ascii="Arial" w:hAnsi="Arial" w:cs="Arial"/>
            <w:sz w:val="20"/>
            <w:szCs w:val="20"/>
          </w:rPr>
          <w:t>https://eur-lex.europa.eu/legal-content/CS/ALL/?uri=CELEX%3A32021R0695</w:t>
        </w:r>
      </w:hyperlink>
    </w:p>
    <w:p w14:paraId="504DD2B3" w14:textId="0150056F" w:rsidR="00134C80" w:rsidRPr="00B26FFC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hyperlink r:id="rId35" w:history="1">
        <w:proofErr w:type="spellStart"/>
        <w:r w:rsidRPr="00B26FFC">
          <w:rPr>
            <w:rStyle w:val="Hypertextovodkaz"/>
            <w:rFonts w:ascii="Arial" w:hAnsi="Arial" w:cs="Arial"/>
            <w:sz w:val="20"/>
            <w:szCs w:val="20"/>
          </w:rPr>
          <w:t>Proposal</w:t>
        </w:r>
        <w:proofErr w:type="spellEnd"/>
        <w:r w:rsidRPr="00B26FFC">
          <w:rPr>
            <w:rStyle w:val="Hypertextovodkaz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B26FFC">
          <w:rPr>
            <w:rStyle w:val="Hypertextovodkaz"/>
            <w:rFonts w:ascii="Arial" w:hAnsi="Arial" w:cs="Arial"/>
            <w:sz w:val="20"/>
            <w:szCs w:val="20"/>
          </w:rPr>
          <w:t>for</w:t>
        </w:r>
        <w:proofErr w:type="spellEnd"/>
        <w:r w:rsidRPr="00B26FFC">
          <w:rPr>
            <w:rStyle w:val="Hypertextovodkaz"/>
            <w:rFonts w:ascii="Arial" w:hAnsi="Arial" w:cs="Arial"/>
            <w:sz w:val="20"/>
            <w:szCs w:val="20"/>
          </w:rPr>
          <w:t xml:space="preserve"> a REGULATION OF THE EUROPEAN PARLIAMENT AND OF THE COUNCIL</w:t>
        </w:r>
      </w:hyperlink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establishing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Horizon </w:t>
      </w:r>
      <w:proofErr w:type="spellStart"/>
      <w:r w:rsidRPr="00B26FFC">
        <w:rPr>
          <w:rFonts w:ascii="Arial" w:hAnsi="Arial" w:cs="Arial"/>
          <w:sz w:val="20"/>
          <w:szCs w:val="20"/>
        </w:rPr>
        <w:t>Europe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26FFC">
        <w:rPr>
          <w:rFonts w:ascii="Arial" w:hAnsi="Arial" w:cs="Arial"/>
          <w:sz w:val="20"/>
          <w:szCs w:val="20"/>
        </w:rPr>
        <w:t>the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Framework </w:t>
      </w:r>
      <w:proofErr w:type="spellStart"/>
      <w:r w:rsidRPr="00B26FFC">
        <w:rPr>
          <w:rFonts w:ascii="Arial" w:hAnsi="Arial" w:cs="Arial"/>
          <w:sz w:val="20"/>
          <w:szCs w:val="20"/>
        </w:rPr>
        <w:t>Programme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Research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and Innovation, </w:t>
      </w:r>
      <w:proofErr w:type="spellStart"/>
      <w:r w:rsidRPr="00B26FFC"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B26FFC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Pr="00B26FFC">
        <w:rPr>
          <w:rFonts w:ascii="Arial" w:hAnsi="Arial" w:cs="Arial"/>
          <w:sz w:val="20"/>
          <w:szCs w:val="20"/>
        </w:rPr>
        <w:t xml:space="preserve">period 2028-2034 </w:t>
      </w:r>
      <w:proofErr w:type="spellStart"/>
      <w:r w:rsidRPr="00B26FFC">
        <w:rPr>
          <w:rFonts w:ascii="Arial" w:hAnsi="Arial" w:cs="Arial"/>
          <w:sz w:val="20"/>
          <w:szCs w:val="20"/>
        </w:rPr>
        <w:t>laying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down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its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rules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participation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and </w:t>
      </w:r>
      <w:proofErr w:type="spellStart"/>
      <w:r w:rsidRPr="00B26FFC">
        <w:rPr>
          <w:rFonts w:ascii="Arial" w:hAnsi="Arial" w:cs="Arial"/>
          <w:sz w:val="20"/>
          <w:szCs w:val="20"/>
        </w:rPr>
        <w:t>dissemination</w:t>
      </w:r>
      <w:proofErr w:type="spellEnd"/>
      <w:r w:rsidRPr="00B26FFC">
        <w:rPr>
          <w:rFonts w:ascii="Arial" w:hAnsi="Arial" w:cs="Arial"/>
          <w:sz w:val="20"/>
          <w:szCs w:val="20"/>
        </w:rPr>
        <w:t>, and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B26FFC">
        <w:rPr>
          <w:rFonts w:ascii="Arial" w:hAnsi="Arial" w:cs="Arial"/>
          <w:sz w:val="20"/>
          <w:szCs w:val="20"/>
        </w:rPr>
        <w:t>repealing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sz w:val="20"/>
          <w:szCs w:val="20"/>
        </w:rPr>
        <w:t>Regulation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 (EU) 2021/69</w:t>
      </w:r>
    </w:p>
    <w:p w14:paraId="2D53E38B" w14:textId="51D6B064" w:rsidR="00134C80" w:rsidRPr="00B26FFC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Prosperous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Competitive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Europe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: A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truly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interdisciplinary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FP10 – Joint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Brussels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UNICA Network, 2024. Dostupné z: </w:t>
      </w:r>
      <w:hyperlink r:id="rId36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https://www.unica-network.eu/wp-content/uploads/2024/12/Joint-position-paper_SSHinFP10_29112024.pdf</w:t>
        </w:r>
      </w:hyperlink>
    </w:p>
    <w:p w14:paraId="7F7FFF66" w14:textId="77777777" w:rsidR="00134C80" w:rsidRPr="00B26FFC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SCIENCE EUROPE.</w:t>
      </w:r>
      <w:r w:rsidRPr="00B26FFC">
        <w:rPr>
          <w:rFonts w:ascii="Arial" w:hAnsi="Arial" w:cs="Arial"/>
          <w:sz w:val="20"/>
          <w:szCs w:val="20"/>
        </w:rPr>
        <w:t xml:space="preserve"> </w:t>
      </w:r>
      <w:r w:rsidRPr="00B26FFC">
        <w:rPr>
          <w:rFonts w:ascii="Arial" w:hAnsi="Arial" w:cs="Arial"/>
          <w:i/>
          <w:iCs/>
          <w:sz w:val="20"/>
          <w:szCs w:val="20"/>
        </w:rPr>
        <w:t xml:space="preserve">10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Key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Messages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the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10th EU Framework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Programme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for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Research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and Innovation (FP10):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Position</w:t>
      </w:r>
      <w:proofErr w:type="spellEnd"/>
      <w:r w:rsidRPr="00B26F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26FFC">
        <w:rPr>
          <w:rFonts w:ascii="Arial" w:hAnsi="Arial" w:cs="Arial"/>
          <w:i/>
          <w:iCs/>
          <w:sz w:val="20"/>
          <w:szCs w:val="20"/>
        </w:rPr>
        <w:t>Paper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26FFC">
        <w:rPr>
          <w:rFonts w:ascii="Arial" w:hAnsi="Arial" w:cs="Arial"/>
          <w:sz w:val="20"/>
          <w:szCs w:val="20"/>
        </w:rPr>
        <w:t>Brussels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: Science </w:t>
      </w:r>
      <w:proofErr w:type="spellStart"/>
      <w:r w:rsidRPr="00B26FFC">
        <w:rPr>
          <w:rFonts w:ascii="Arial" w:hAnsi="Arial" w:cs="Arial"/>
          <w:sz w:val="20"/>
          <w:szCs w:val="20"/>
        </w:rPr>
        <w:t>Europe</w:t>
      </w:r>
      <w:proofErr w:type="spellEnd"/>
      <w:r w:rsidRPr="00B26FFC">
        <w:rPr>
          <w:rFonts w:ascii="Arial" w:hAnsi="Arial" w:cs="Arial"/>
          <w:sz w:val="20"/>
          <w:szCs w:val="20"/>
        </w:rPr>
        <w:t xml:space="preserve">, 2024. Dostupné z: </w:t>
      </w:r>
      <w:hyperlink r:id="rId37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https://www.scienceeurope.org/media/tmpmkw0l/fp10_position_paper_05072024.pdf</w:t>
        </w:r>
      </w:hyperlink>
      <w:r w:rsidRPr="00B26FFC">
        <w:rPr>
          <w:rFonts w:ascii="Arial" w:hAnsi="Arial" w:cs="Arial"/>
          <w:sz w:val="20"/>
          <w:szCs w:val="20"/>
        </w:rPr>
        <w:t>,</w:t>
      </w:r>
    </w:p>
    <w:p w14:paraId="686D7D7E" w14:textId="34530DF3" w:rsidR="00134C80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TECHNOLOGICKÉ CENTRUM PRAHA.</w:t>
      </w:r>
      <w:r w:rsidRPr="00B26F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B26FFC">
        <w:rPr>
          <w:rFonts w:ascii="Arial" w:hAnsi="Arial" w:cs="Arial"/>
          <w:sz w:val="20"/>
          <w:szCs w:val="20"/>
        </w:rPr>
        <w:t>racovní materiál Budoucí podpora SHV v rámcových programech</w:t>
      </w:r>
    </w:p>
    <w:p w14:paraId="2BF2FC93" w14:textId="36EAC5FF" w:rsidR="00134C80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TECHNOLOGICKÉ CENTRUM PRAHA.</w:t>
      </w:r>
      <w:r w:rsidRPr="00134C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B26FFC">
        <w:rPr>
          <w:rFonts w:ascii="Arial" w:hAnsi="Arial" w:cs="Arial"/>
          <w:sz w:val="20"/>
          <w:szCs w:val="20"/>
        </w:rPr>
        <w:t>racovní materiál Účast ČR v projektech s prvky SHV v programu v H2020 a Horizontu Evropa</w:t>
      </w:r>
    </w:p>
    <w:p w14:paraId="1DC4A49C" w14:textId="44026BEB" w:rsidR="00134C80" w:rsidRPr="00134C80" w:rsidRDefault="00134C80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134C80">
        <w:rPr>
          <w:rFonts w:ascii="Arial" w:hAnsi="Arial" w:cs="Arial"/>
          <w:b/>
          <w:bCs/>
          <w:sz w:val="20"/>
          <w:szCs w:val="20"/>
        </w:rPr>
        <w:t>TECHNOLOGICKÉ CENTRUM PRAHA.</w:t>
      </w:r>
      <w:r w:rsidRPr="00134C80">
        <w:rPr>
          <w:rFonts w:ascii="Arial" w:hAnsi="Arial" w:cs="Arial"/>
          <w:sz w:val="20"/>
          <w:szCs w:val="20"/>
        </w:rPr>
        <w:t xml:space="preserve"> Akce Marie </w:t>
      </w:r>
      <w:proofErr w:type="spellStart"/>
      <w:r w:rsidRPr="00134C80">
        <w:rPr>
          <w:rFonts w:ascii="Arial" w:hAnsi="Arial" w:cs="Arial"/>
          <w:sz w:val="20"/>
          <w:szCs w:val="20"/>
        </w:rPr>
        <w:t>Skłodowska</w:t>
      </w:r>
      <w:proofErr w:type="spellEnd"/>
      <w:r w:rsidRPr="00134C80">
        <w:rPr>
          <w:rFonts w:ascii="Arial" w:hAnsi="Arial" w:cs="Arial"/>
          <w:sz w:val="20"/>
          <w:szCs w:val="20"/>
        </w:rPr>
        <w:t xml:space="preserve">-Curie – informace. </w:t>
      </w:r>
      <w:r w:rsidRPr="00134C80">
        <w:rPr>
          <w:rFonts w:ascii="Arial" w:hAnsi="Arial" w:cs="Arial"/>
          <w:i/>
          <w:iCs/>
          <w:sz w:val="20"/>
          <w:szCs w:val="20"/>
        </w:rPr>
        <w:t>Horizont Evropa</w:t>
      </w:r>
      <w:r w:rsidRPr="00134C80">
        <w:rPr>
          <w:rFonts w:ascii="Arial" w:hAnsi="Arial" w:cs="Arial"/>
          <w:sz w:val="20"/>
          <w:szCs w:val="20"/>
        </w:rPr>
        <w:t xml:space="preserve"> [online]. [cit. 2025-11-06]. Dostupné z: </w:t>
      </w:r>
      <w:hyperlink r:id="rId38" w:history="1">
        <w:r w:rsidRPr="00134C80">
          <w:rPr>
            <w:rStyle w:val="Hypertextovodkaz"/>
            <w:rFonts w:ascii="Arial" w:hAnsi="Arial" w:cs="Arial"/>
            <w:sz w:val="20"/>
            <w:szCs w:val="20"/>
          </w:rPr>
          <w:t>https://www.horizontevropa.cz/cs/struktura-programu-he/excelentni-veda/akce-marie-sklodowska-curie/informace?storiesType=0</w:t>
        </w:r>
      </w:hyperlink>
    </w:p>
    <w:p w14:paraId="3C98EEBE" w14:textId="7DAAA50F" w:rsidR="00134C80" w:rsidRPr="00134C80" w:rsidRDefault="00D30351" w:rsidP="00134C80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B26FFC">
        <w:rPr>
          <w:rFonts w:ascii="Arial" w:hAnsi="Arial" w:cs="Arial"/>
          <w:b/>
          <w:bCs/>
          <w:sz w:val="20"/>
          <w:szCs w:val="20"/>
        </w:rPr>
        <w:t>VOJTĚCH, Vladimír</w:t>
      </w:r>
      <w:r w:rsidRPr="00B26FFC">
        <w:rPr>
          <w:rFonts w:ascii="Arial" w:hAnsi="Arial" w:cs="Arial"/>
          <w:sz w:val="20"/>
          <w:szCs w:val="20"/>
        </w:rPr>
        <w:t xml:space="preserve">. Zapojení společenských a humanitních věd do programu Horizont Evropa. </w:t>
      </w:r>
      <w:r w:rsidRPr="00B26FFC">
        <w:rPr>
          <w:rFonts w:ascii="Arial" w:hAnsi="Arial" w:cs="Arial"/>
          <w:i/>
          <w:iCs/>
          <w:sz w:val="20"/>
          <w:szCs w:val="20"/>
        </w:rPr>
        <w:t>Echo – bulletin Technologického centra Praha</w:t>
      </w:r>
      <w:r w:rsidRPr="00B26FFC">
        <w:rPr>
          <w:rFonts w:ascii="Arial" w:hAnsi="Arial" w:cs="Arial"/>
          <w:sz w:val="20"/>
          <w:szCs w:val="20"/>
        </w:rPr>
        <w:t xml:space="preserve">, 2024, roč. 2024, č. 2, s. 4–9. Dostupné z: </w:t>
      </w:r>
      <w:hyperlink r:id="rId39" w:history="1">
        <w:r w:rsidRPr="00B26FFC">
          <w:rPr>
            <w:rStyle w:val="Hypertextovodkaz"/>
            <w:rFonts w:ascii="Arial" w:hAnsi="Arial" w:cs="Arial"/>
            <w:sz w:val="20"/>
            <w:szCs w:val="20"/>
          </w:rPr>
          <w:t>https://www.tc.cz/cs/publikace/179/echo-2-2024</w:t>
        </w:r>
      </w:hyperlink>
    </w:p>
    <w:sectPr w:rsidR="00134C80" w:rsidRPr="00134C80" w:rsidSect="002E1549">
      <w:headerReference w:type="default" r:id="rId40"/>
      <w:pgSz w:w="11906" w:h="16838" w:code="9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1BDDC" w14:textId="77777777" w:rsidR="00F84E9D" w:rsidRDefault="00F84E9D" w:rsidP="005658B8">
      <w:pPr>
        <w:spacing w:after="0" w:line="240" w:lineRule="auto"/>
      </w:pPr>
      <w:r>
        <w:separator/>
      </w:r>
    </w:p>
  </w:endnote>
  <w:endnote w:type="continuationSeparator" w:id="0">
    <w:p w14:paraId="6F966E44" w14:textId="77777777" w:rsidR="00F84E9D" w:rsidRDefault="00F84E9D" w:rsidP="0056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52B6D" w14:textId="1059AD2F" w:rsidR="00622DB5" w:rsidRDefault="00622DB5">
    <w:pPr>
      <w:pStyle w:val="Zpat"/>
      <w:jc w:val="right"/>
    </w:pPr>
  </w:p>
  <w:p w14:paraId="2E72DFD5" w14:textId="77777777" w:rsidR="00514373" w:rsidRDefault="00514373" w:rsidP="00C52C38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0477897"/>
      <w:docPartObj>
        <w:docPartGallery w:val="Page Numbers (Bottom of Page)"/>
        <w:docPartUnique/>
      </w:docPartObj>
    </w:sdtPr>
    <w:sdtEndPr/>
    <w:sdtContent>
      <w:p w14:paraId="0E8E05C0" w14:textId="77777777" w:rsidR="00622DB5" w:rsidRDefault="00622DB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7F3D56" w14:textId="77777777" w:rsidR="00622DB5" w:rsidRDefault="00622DB5" w:rsidP="00C52C38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95E20" w14:textId="77777777" w:rsidR="00F84E9D" w:rsidRDefault="00F84E9D" w:rsidP="005658B8">
      <w:pPr>
        <w:spacing w:after="0" w:line="240" w:lineRule="auto"/>
      </w:pPr>
      <w:r>
        <w:separator/>
      </w:r>
    </w:p>
  </w:footnote>
  <w:footnote w:type="continuationSeparator" w:id="0">
    <w:p w14:paraId="04B86E20" w14:textId="77777777" w:rsidR="00F84E9D" w:rsidRDefault="00F84E9D" w:rsidP="005658B8">
      <w:pPr>
        <w:spacing w:after="0" w:line="240" w:lineRule="auto"/>
      </w:pPr>
      <w:r>
        <w:continuationSeparator/>
      </w:r>
    </w:p>
  </w:footnote>
  <w:footnote w:id="1">
    <w:p w14:paraId="32B9E83C" w14:textId="22A595F2" w:rsidR="001A0176" w:rsidRDefault="001A01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A0176">
        <w:t>Závěrečná zpráva bude publikována po roce 2027 a bude hodnotit integraci SH</w:t>
      </w:r>
      <w:r w:rsidR="002132E5">
        <w:t>V</w:t>
      </w:r>
      <w:r w:rsidRPr="001A0176">
        <w:t xml:space="preserve"> za celé období programu Horizont Evropa (2021–2027).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E852" w14:textId="6F918290" w:rsidR="00514373" w:rsidRPr="005F3205" w:rsidRDefault="00514373" w:rsidP="00480AAF">
    <w:pPr>
      <w:pStyle w:val="Zhlav"/>
      <w:jc w:val="right"/>
      <w:rPr>
        <w:rFonts w:ascii="Cambria" w:hAnsi="Cambria" w:cs="Arial"/>
        <w:i/>
        <w:color w:val="1F497D"/>
        <w:sz w:val="18"/>
        <w:szCs w:val="18"/>
        <w:lang w:eastAsia="cs-CZ"/>
      </w:rPr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Nadpis_obsah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68716F">
      <w:rPr>
        <w:rFonts w:ascii="Cambria" w:hAnsi="Cambria" w:cs="Arial"/>
        <w:i/>
        <w:noProof/>
        <w:color w:val="1F497D"/>
        <w:sz w:val="18"/>
        <w:szCs w:val="18"/>
        <w:lang w:eastAsia="cs-CZ"/>
      </w:rPr>
      <w:t>Obsah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C6719" w14:textId="77777777" w:rsidR="00A6384A" w:rsidRPr="005F3205" w:rsidRDefault="00A6384A" w:rsidP="005F3205">
    <w:pPr>
      <w:pStyle w:val="Zhlav"/>
      <w:jc w:val="right"/>
      <w:rPr>
        <w:b/>
      </w:rPr>
    </w:pPr>
    <w:r w:rsidRPr="005F3205">
      <w:rPr>
        <w:b/>
      </w:rPr>
      <w:t>III.</w:t>
    </w:r>
  </w:p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8"/>
      <w:gridCol w:w="1559"/>
    </w:tblGrid>
    <w:tr w:rsidR="00A6384A" w:rsidRPr="002C1EC0" w14:paraId="6B1DFDCA" w14:textId="77777777" w:rsidTr="002C1EC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3BF888" w14:textId="77777777" w:rsidR="00A6384A" w:rsidRPr="002C1EC0" w:rsidRDefault="00A6384A" w:rsidP="002C1EC0">
          <w:pPr>
            <w:pStyle w:val="Zhlav"/>
            <w:tabs>
              <w:tab w:val="clear" w:pos="4536"/>
              <w:tab w:val="clear" w:pos="9072"/>
            </w:tabs>
            <w:ind w:firstLine="1985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0" layoutInCell="1" allowOverlap="1" wp14:anchorId="0CA779B4" wp14:editId="0FF4A099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0"/>
                <wp:wrapNone/>
                <wp:docPr id="1013310154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1EC0">
            <w:rPr>
              <w:rFonts w:cs="Arial"/>
              <w:b/>
            </w:rPr>
            <w:t>Rada pro výzkum, vývoj a inovace</w:t>
          </w: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BA5A10" w14:textId="77777777" w:rsidR="00A6384A" w:rsidRPr="002C1EC0" w:rsidRDefault="00A6384A" w:rsidP="002C1EC0">
          <w:pPr>
            <w:pStyle w:val="Zhlav"/>
            <w:jc w:val="center"/>
            <w:rPr>
              <w:rFonts w:cs="Arial"/>
              <w:b/>
              <w:color w:val="FFFFFF"/>
              <w:sz w:val="28"/>
              <w:szCs w:val="28"/>
            </w:rPr>
          </w:pPr>
          <w:r w:rsidRPr="002C1EC0">
            <w:rPr>
              <w:rFonts w:cs="Arial"/>
              <w:b/>
              <w:color w:val="FFFFFF"/>
              <w:sz w:val="28"/>
              <w:szCs w:val="28"/>
            </w:rPr>
            <w:t>341/A3</w:t>
          </w:r>
        </w:p>
      </w:tc>
    </w:tr>
  </w:tbl>
  <w:p w14:paraId="789E1063" w14:textId="77777777" w:rsidR="00A6384A" w:rsidRDefault="00A638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3629E" w14:textId="55AFD4B2" w:rsidR="00CB5AAC" w:rsidRPr="005F3205" w:rsidRDefault="00CB5AAC" w:rsidP="00932FE9">
    <w:pPr>
      <w:pStyle w:val="Zhlav"/>
      <w:jc w:val="right"/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"Nadpis 1"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68716F">
      <w:rPr>
        <w:rFonts w:ascii="Cambria" w:hAnsi="Cambria" w:cs="Arial"/>
        <w:i/>
        <w:noProof/>
        <w:color w:val="1F497D"/>
        <w:sz w:val="18"/>
        <w:szCs w:val="18"/>
        <w:lang w:eastAsia="cs-CZ"/>
      </w:rPr>
      <w:t>Podpora SHV v rámcových programech EU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F333D" w14:textId="628D9A95" w:rsidR="00CB5AAC" w:rsidRPr="005F3205" w:rsidRDefault="00CB5AAC" w:rsidP="00932FE9">
    <w:pPr>
      <w:pStyle w:val="Zhlav"/>
      <w:jc w:val="right"/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"Nadpis 1"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68716F">
      <w:rPr>
        <w:rFonts w:ascii="Cambria" w:hAnsi="Cambria" w:cs="Arial"/>
        <w:i/>
        <w:noProof/>
        <w:color w:val="1F497D"/>
        <w:sz w:val="18"/>
        <w:szCs w:val="18"/>
        <w:lang w:eastAsia="cs-CZ"/>
      </w:rPr>
      <w:t>Zdroje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" w15:restartNumberingAfterBreak="0">
    <w:nsid w:val="135F469C"/>
    <w:multiLevelType w:val="hybridMultilevel"/>
    <w:tmpl w:val="038A4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D055F"/>
    <w:multiLevelType w:val="hybridMultilevel"/>
    <w:tmpl w:val="7B9A4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C54EF"/>
    <w:multiLevelType w:val="multilevel"/>
    <w:tmpl w:val="3C32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C02D2"/>
    <w:multiLevelType w:val="hybridMultilevel"/>
    <w:tmpl w:val="E138CE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2996"/>
    <w:multiLevelType w:val="multilevel"/>
    <w:tmpl w:val="49A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2A2B1D"/>
    <w:multiLevelType w:val="multilevel"/>
    <w:tmpl w:val="54AC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393EC5"/>
    <w:multiLevelType w:val="hybridMultilevel"/>
    <w:tmpl w:val="B45A7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177DB"/>
    <w:multiLevelType w:val="hybridMultilevel"/>
    <w:tmpl w:val="C11A89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CD484B"/>
    <w:multiLevelType w:val="hybridMultilevel"/>
    <w:tmpl w:val="D26AA6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95DD9"/>
    <w:multiLevelType w:val="hybridMultilevel"/>
    <w:tmpl w:val="17101F3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7F2F"/>
    <w:multiLevelType w:val="hybridMultilevel"/>
    <w:tmpl w:val="5A7EF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30228"/>
    <w:multiLevelType w:val="hybridMultilevel"/>
    <w:tmpl w:val="E4869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065E9"/>
    <w:multiLevelType w:val="hybridMultilevel"/>
    <w:tmpl w:val="F56E0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C31C9"/>
    <w:multiLevelType w:val="hybridMultilevel"/>
    <w:tmpl w:val="65EEBEE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17FE6"/>
    <w:multiLevelType w:val="hybridMultilevel"/>
    <w:tmpl w:val="E5B03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24873"/>
    <w:multiLevelType w:val="multilevel"/>
    <w:tmpl w:val="A44A30F8"/>
    <w:styleLink w:val="Styl3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7B070235"/>
    <w:multiLevelType w:val="hybridMultilevel"/>
    <w:tmpl w:val="B42EDF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960497">
    <w:abstractNumId w:val="16"/>
  </w:num>
  <w:num w:numId="2" w16cid:durableId="2008708313">
    <w:abstractNumId w:val="8"/>
  </w:num>
  <w:num w:numId="3" w16cid:durableId="1117217290">
    <w:abstractNumId w:val="6"/>
  </w:num>
  <w:num w:numId="4" w16cid:durableId="788011202">
    <w:abstractNumId w:val="3"/>
  </w:num>
  <w:num w:numId="5" w16cid:durableId="595602166">
    <w:abstractNumId w:val="5"/>
  </w:num>
  <w:num w:numId="6" w16cid:durableId="341474522">
    <w:abstractNumId w:val="2"/>
  </w:num>
  <w:num w:numId="7" w16cid:durableId="1386181521">
    <w:abstractNumId w:val="14"/>
  </w:num>
  <w:num w:numId="8" w16cid:durableId="1265503094">
    <w:abstractNumId w:val="13"/>
  </w:num>
  <w:num w:numId="9" w16cid:durableId="1522545671">
    <w:abstractNumId w:val="4"/>
  </w:num>
  <w:num w:numId="10" w16cid:durableId="1475369868">
    <w:abstractNumId w:val="17"/>
  </w:num>
  <w:num w:numId="11" w16cid:durableId="67191286">
    <w:abstractNumId w:val="11"/>
  </w:num>
  <w:num w:numId="12" w16cid:durableId="1194228117">
    <w:abstractNumId w:val="1"/>
  </w:num>
  <w:num w:numId="13" w16cid:durableId="759133941">
    <w:abstractNumId w:val="15"/>
  </w:num>
  <w:num w:numId="14" w16cid:durableId="2021738385">
    <w:abstractNumId w:val="10"/>
  </w:num>
  <w:num w:numId="15" w16cid:durableId="1861384001">
    <w:abstractNumId w:val="12"/>
  </w:num>
  <w:num w:numId="16" w16cid:durableId="728529640">
    <w:abstractNumId w:val="9"/>
  </w:num>
  <w:num w:numId="17" w16cid:durableId="160814853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2E"/>
    <w:rsid w:val="00000C4E"/>
    <w:rsid w:val="00001245"/>
    <w:rsid w:val="00001B5B"/>
    <w:rsid w:val="0000283A"/>
    <w:rsid w:val="00002B22"/>
    <w:rsid w:val="0000546D"/>
    <w:rsid w:val="00006D19"/>
    <w:rsid w:val="000073EB"/>
    <w:rsid w:val="0001225B"/>
    <w:rsid w:val="000122FF"/>
    <w:rsid w:val="00013538"/>
    <w:rsid w:val="0001374E"/>
    <w:rsid w:val="00014859"/>
    <w:rsid w:val="0001793A"/>
    <w:rsid w:val="00021A2E"/>
    <w:rsid w:val="00021C3E"/>
    <w:rsid w:val="0002349C"/>
    <w:rsid w:val="00023578"/>
    <w:rsid w:val="0002611F"/>
    <w:rsid w:val="000307D2"/>
    <w:rsid w:val="00030EAF"/>
    <w:rsid w:val="00031210"/>
    <w:rsid w:val="00032CF9"/>
    <w:rsid w:val="00035BB0"/>
    <w:rsid w:val="0003646C"/>
    <w:rsid w:val="000403C1"/>
    <w:rsid w:val="00045F1D"/>
    <w:rsid w:val="00046295"/>
    <w:rsid w:val="00046725"/>
    <w:rsid w:val="0005100F"/>
    <w:rsid w:val="000545E4"/>
    <w:rsid w:val="00055BD6"/>
    <w:rsid w:val="00057018"/>
    <w:rsid w:val="0005711A"/>
    <w:rsid w:val="00060603"/>
    <w:rsid w:val="000629FE"/>
    <w:rsid w:val="00063F74"/>
    <w:rsid w:val="00064AE6"/>
    <w:rsid w:val="00065D05"/>
    <w:rsid w:val="00066663"/>
    <w:rsid w:val="00070375"/>
    <w:rsid w:val="00070E1D"/>
    <w:rsid w:val="000712B8"/>
    <w:rsid w:val="00071F0F"/>
    <w:rsid w:val="0007204A"/>
    <w:rsid w:val="00072B8A"/>
    <w:rsid w:val="00073116"/>
    <w:rsid w:val="00073C0F"/>
    <w:rsid w:val="0007473D"/>
    <w:rsid w:val="00074F49"/>
    <w:rsid w:val="000762AB"/>
    <w:rsid w:val="00077E33"/>
    <w:rsid w:val="00081E4A"/>
    <w:rsid w:val="00082978"/>
    <w:rsid w:val="000835B6"/>
    <w:rsid w:val="00083F1B"/>
    <w:rsid w:val="000845BF"/>
    <w:rsid w:val="00086360"/>
    <w:rsid w:val="00091ADE"/>
    <w:rsid w:val="00093BE0"/>
    <w:rsid w:val="000953E9"/>
    <w:rsid w:val="000A0F46"/>
    <w:rsid w:val="000A262B"/>
    <w:rsid w:val="000A2E25"/>
    <w:rsid w:val="000A4F85"/>
    <w:rsid w:val="000A6CC3"/>
    <w:rsid w:val="000A75A3"/>
    <w:rsid w:val="000A7A9E"/>
    <w:rsid w:val="000B0AD7"/>
    <w:rsid w:val="000B0FC5"/>
    <w:rsid w:val="000B2C01"/>
    <w:rsid w:val="000B4E4D"/>
    <w:rsid w:val="000B5B3B"/>
    <w:rsid w:val="000B7382"/>
    <w:rsid w:val="000C0E23"/>
    <w:rsid w:val="000C1FAA"/>
    <w:rsid w:val="000C21BE"/>
    <w:rsid w:val="000C338C"/>
    <w:rsid w:val="000C448D"/>
    <w:rsid w:val="000C4A9F"/>
    <w:rsid w:val="000C4AFB"/>
    <w:rsid w:val="000C72C8"/>
    <w:rsid w:val="000D2044"/>
    <w:rsid w:val="000D4A6B"/>
    <w:rsid w:val="000D6EA2"/>
    <w:rsid w:val="000D7F9E"/>
    <w:rsid w:val="000E0E63"/>
    <w:rsid w:val="000E2AC1"/>
    <w:rsid w:val="000E3CBA"/>
    <w:rsid w:val="000E4F68"/>
    <w:rsid w:val="000F031F"/>
    <w:rsid w:val="000F3CB9"/>
    <w:rsid w:val="000F48B2"/>
    <w:rsid w:val="0010036E"/>
    <w:rsid w:val="001009A1"/>
    <w:rsid w:val="00105C9A"/>
    <w:rsid w:val="001067F9"/>
    <w:rsid w:val="00106FA6"/>
    <w:rsid w:val="001113A8"/>
    <w:rsid w:val="00112CC9"/>
    <w:rsid w:val="00113FC9"/>
    <w:rsid w:val="00115AD5"/>
    <w:rsid w:val="00117D17"/>
    <w:rsid w:val="00120C0C"/>
    <w:rsid w:val="00120D0C"/>
    <w:rsid w:val="00121A94"/>
    <w:rsid w:val="001223EF"/>
    <w:rsid w:val="00124BD8"/>
    <w:rsid w:val="00126D20"/>
    <w:rsid w:val="00130B2F"/>
    <w:rsid w:val="00131FDF"/>
    <w:rsid w:val="00133BB6"/>
    <w:rsid w:val="00133D39"/>
    <w:rsid w:val="00134524"/>
    <w:rsid w:val="00134C80"/>
    <w:rsid w:val="001375D1"/>
    <w:rsid w:val="00146748"/>
    <w:rsid w:val="00152CAD"/>
    <w:rsid w:val="0015329D"/>
    <w:rsid w:val="001533F7"/>
    <w:rsid w:val="001555BC"/>
    <w:rsid w:val="00155CF0"/>
    <w:rsid w:val="001573F1"/>
    <w:rsid w:val="00161552"/>
    <w:rsid w:val="00162944"/>
    <w:rsid w:val="0016408D"/>
    <w:rsid w:val="001666F6"/>
    <w:rsid w:val="00166D72"/>
    <w:rsid w:val="001702BD"/>
    <w:rsid w:val="00170448"/>
    <w:rsid w:val="0017053F"/>
    <w:rsid w:val="001739A8"/>
    <w:rsid w:val="00173F03"/>
    <w:rsid w:val="001751E0"/>
    <w:rsid w:val="00183C4A"/>
    <w:rsid w:val="00186511"/>
    <w:rsid w:val="001865F2"/>
    <w:rsid w:val="001903DA"/>
    <w:rsid w:val="00193101"/>
    <w:rsid w:val="00193DEE"/>
    <w:rsid w:val="0019436A"/>
    <w:rsid w:val="001945D5"/>
    <w:rsid w:val="00194AB0"/>
    <w:rsid w:val="00195F41"/>
    <w:rsid w:val="00196358"/>
    <w:rsid w:val="001A0176"/>
    <w:rsid w:val="001A1899"/>
    <w:rsid w:val="001A4F3A"/>
    <w:rsid w:val="001A59D1"/>
    <w:rsid w:val="001A6A17"/>
    <w:rsid w:val="001A79D7"/>
    <w:rsid w:val="001B06B9"/>
    <w:rsid w:val="001B0BFD"/>
    <w:rsid w:val="001B1309"/>
    <w:rsid w:val="001B196E"/>
    <w:rsid w:val="001B2B27"/>
    <w:rsid w:val="001B637F"/>
    <w:rsid w:val="001C0901"/>
    <w:rsid w:val="001C18AE"/>
    <w:rsid w:val="001C1EFD"/>
    <w:rsid w:val="001C1FF7"/>
    <w:rsid w:val="001C5E26"/>
    <w:rsid w:val="001D03B4"/>
    <w:rsid w:val="001D0F94"/>
    <w:rsid w:val="001D2E86"/>
    <w:rsid w:val="001D55C2"/>
    <w:rsid w:val="001E6009"/>
    <w:rsid w:val="001E619D"/>
    <w:rsid w:val="001E73E7"/>
    <w:rsid w:val="001F2886"/>
    <w:rsid w:val="001F59F2"/>
    <w:rsid w:val="00200BC5"/>
    <w:rsid w:val="00201F84"/>
    <w:rsid w:val="00204B3D"/>
    <w:rsid w:val="00204F9F"/>
    <w:rsid w:val="00206C51"/>
    <w:rsid w:val="002076DD"/>
    <w:rsid w:val="0021282F"/>
    <w:rsid w:val="002132E5"/>
    <w:rsid w:val="0021495D"/>
    <w:rsid w:val="0021501B"/>
    <w:rsid w:val="00215198"/>
    <w:rsid w:val="00216252"/>
    <w:rsid w:val="00216263"/>
    <w:rsid w:val="002166AB"/>
    <w:rsid w:val="00220577"/>
    <w:rsid w:val="00221775"/>
    <w:rsid w:val="00224FBC"/>
    <w:rsid w:val="00232162"/>
    <w:rsid w:val="00233CDF"/>
    <w:rsid w:val="00234679"/>
    <w:rsid w:val="00235135"/>
    <w:rsid w:val="002359A5"/>
    <w:rsid w:val="00235F1D"/>
    <w:rsid w:val="00242693"/>
    <w:rsid w:val="002470A7"/>
    <w:rsid w:val="00247814"/>
    <w:rsid w:val="00252A12"/>
    <w:rsid w:val="002538A3"/>
    <w:rsid w:val="00254E69"/>
    <w:rsid w:val="002564AD"/>
    <w:rsid w:val="00256D9F"/>
    <w:rsid w:val="00260A65"/>
    <w:rsid w:val="00261036"/>
    <w:rsid w:val="002618DF"/>
    <w:rsid w:val="00261DDC"/>
    <w:rsid w:val="0026498D"/>
    <w:rsid w:val="00264CC9"/>
    <w:rsid w:val="0026585E"/>
    <w:rsid w:val="00265971"/>
    <w:rsid w:val="0027293F"/>
    <w:rsid w:val="0027515B"/>
    <w:rsid w:val="0028289A"/>
    <w:rsid w:val="00283298"/>
    <w:rsid w:val="0028360F"/>
    <w:rsid w:val="002850CD"/>
    <w:rsid w:val="00285DDF"/>
    <w:rsid w:val="00286E03"/>
    <w:rsid w:val="00287130"/>
    <w:rsid w:val="00287FE3"/>
    <w:rsid w:val="00290264"/>
    <w:rsid w:val="00291D88"/>
    <w:rsid w:val="00292B92"/>
    <w:rsid w:val="00296AE2"/>
    <w:rsid w:val="00296FDB"/>
    <w:rsid w:val="002A0BFE"/>
    <w:rsid w:val="002A245C"/>
    <w:rsid w:val="002A4B2A"/>
    <w:rsid w:val="002A53C3"/>
    <w:rsid w:val="002A5903"/>
    <w:rsid w:val="002A5E54"/>
    <w:rsid w:val="002A6032"/>
    <w:rsid w:val="002A6E3B"/>
    <w:rsid w:val="002A70D3"/>
    <w:rsid w:val="002B2C01"/>
    <w:rsid w:val="002B5476"/>
    <w:rsid w:val="002B5707"/>
    <w:rsid w:val="002B5D84"/>
    <w:rsid w:val="002B6C17"/>
    <w:rsid w:val="002C1B10"/>
    <w:rsid w:val="002C1EC0"/>
    <w:rsid w:val="002C22A2"/>
    <w:rsid w:val="002C28C4"/>
    <w:rsid w:val="002C6532"/>
    <w:rsid w:val="002D2825"/>
    <w:rsid w:val="002D28E3"/>
    <w:rsid w:val="002D2B7D"/>
    <w:rsid w:val="002E1549"/>
    <w:rsid w:val="002E1E8B"/>
    <w:rsid w:val="002E374F"/>
    <w:rsid w:val="002E52B2"/>
    <w:rsid w:val="002E5831"/>
    <w:rsid w:val="002E5A3B"/>
    <w:rsid w:val="002E61B6"/>
    <w:rsid w:val="002E7A5B"/>
    <w:rsid w:val="002F37F3"/>
    <w:rsid w:val="002F5E65"/>
    <w:rsid w:val="002F7885"/>
    <w:rsid w:val="00306C85"/>
    <w:rsid w:val="003106DB"/>
    <w:rsid w:val="003107AC"/>
    <w:rsid w:val="00313FD1"/>
    <w:rsid w:val="0031455B"/>
    <w:rsid w:val="0032283D"/>
    <w:rsid w:val="003248BE"/>
    <w:rsid w:val="00326563"/>
    <w:rsid w:val="0032705F"/>
    <w:rsid w:val="00330DDB"/>
    <w:rsid w:val="00331B10"/>
    <w:rsid w:val="00332FF6"/>
    <w:rsid w:val="003339A3"/>
    <w:rsid w:val="0034133D"/>
    <w:rsid w:val="0034172F"/>
    <w:rsid w:val="00341C96"/>
    <w:rsid w:val="00342938"/>
    <w:rsid w:val="003433ED"/>
    <w:rsid w:val="00343F7D"/>
    <w:rsid w:val="00346283"/>
    <w:rsid w:val="00346514"/>
    <w:rsid w:val="00350177"/>
    <w:rsid w:val="003507E2"/>
    <w:rsid w:val="00352912"/>
    <w:rsid w:val="00355BB6"/>
    <w:rsid w:val="00355D63"/>
    <w:rsid w:val="00363B17"/>
    <w:rsid w:val="00363BC8"/>
    <w:rsid w:val="00370285"/>
    <w:rsid w:val="00370625"/>
    <w:rsid w:val="00373A79"/>
    <w:rsid w:val="00375238"/>
    <w:rsid w:val="003866E2"/>
    <w:rsid w:val="00390E00"/>
    <w:rsid w:val="0039157A"/>
    <w:rsid w:val="00392BFF"/>
    <w:rsid w:val="00394ACD"/>
    <w:rsid w:val="003971CF"/>
    <w:rsid w:val="003A0ABA"/>
    <w:rsid w:val="003A1F12"/>
    <w:rsid w:val="003A46BD"/>
    <w:rsid w:val="003A5E10"/>
    <w:rsid w:val="003A7F83"/>
    <w:rsid w:val="003B1E1D"/>
    <w:rsid w:val="003B23CD"/>
    <w:rsid w:val="003B32F7"/>
    <w:rsid w:val="003B613E"/>
    <w:rsid w:val="003B6AE9"/>
    <w:rsid w:val="003B7E53"/>
    <w:rsid w:val="003C0357"/>
    <w:rsid w:val="003C1B85"/>
    <w:rsid w:val="003C1F7B"/>
    <w:rsid w:val="003C45AB"/>
    <w:rsid w:val="003C6E51"/>
    <w:rsid w:val="003C7C3A"/>
    <w:rsid w:val="003D01B9"/>
    <w:rsid w:val="003D14B6"/>
    <w:rsid w:val="003D3387"/>
    <w:rsid w:val="003D4C80"/>
    <w:rsid w:val="003D4F7E"/>
    <w:rsid w:val="003D5361"/>
    <w:rsid w:val="003D6F1C"/>
    <w:rsid w:val="003E0516"/>
    <w:rsid w:val="003E08D8"/>
    <w:rsid w:val="003E1F64"/>
    <w:rsid w:val="003E20EF"/>
    <w:rsid w:val="003E3650"/>
    <w:rsid w:val="003E36B5"/>
    <w:rsid w:val="003E56DE"/>
    <w:rsid w:val="003E5C8C"/>
    <w:rsid w:val="003E5FC4"/>
    <w:rsid w:val="003E6672"/>
    <w:rsid w:val="003F0637"/>
    <w:rsid w:val="003F271B"/>
    <w:rsid w:val="0040327F"/>
    <w:rsid w:val="00403B59"/>
    <w:rsid w:val="00404846"/>
    <w:rsid w:val="00404D79"/>
    <w:rsid w:val="00404FC1"/>
    <w:rsid w:val="0041249C"/>
    <w:rsid w:val="004174F5"/>
    <w:rsid w:val="00421865"/>
    <w:rsid w:val="0042209E"/>
    <w:rsid w:val="004220A8"/>
    <w:rsid w:val="0042631D"/>
    <w:rsid w:val="0042649C"/>
    <w:rsid w:val="004306CC"/>
    <w:rsid w:val="0043130C"/>
    <w:rsid w:val="004338D4"/>
    <w:rsid w:val="00435BC3"/>
    <w:rsid w:val="00437BB7"/>
    <w:rsid w:val="00443D26"/>
    <w:rsid w:val="00444570"/>
    <w:rsid w:val="0044502C"/>
    <w:rsid w:val="00446046"/>
    <w:rsid w:val="004463D9"/>
    <w:rsid w:val="0044738D"/>
    <w:rsid w:val="004515D3"/>
    <w:rsid w:val="00460CC3"/>
    <w:rsid w:val="00462BB5"/>
    <w:rsid w:val="00463E23"/>
    <w:rsid w:val="004651CE"/>
    <w:rsid w:val="00465E44"/>
    <w:rsid w:val="00466E6A"/>
    <w:rsid w:val="004712B2"/>
    <w:rsid w:val="00471971"/>
    <w:rsid w:val="00471C35"/>
    <w:rsid w:val="00472EF3"/>
    <w:rsid w:val="00475635"/>
    <w:rsid w:val="00480AAF"/>
    <w:rsid w:val="00481A18"/>
    <w:rsid w:val="00481E88"/>
    <w:rsid w:val="00482F37"/>
    <w:rsid w:val="00484627"/>
    <w:rsid w:val="00485500"/>
    <w:rsid w:val="00485F9C"/>
    <w:rsid w:val="004862A7"/>
    <w:rsid w:val="00486D97"/>
    <w:rsid w:val="004929EA"/>
    <w:rsid w:val="00494100"/>
    <w:rsid w:val="00496169"/>
    <w:rsid w:val="00496431"/>
    <w:rsid w:val="004A283F"/>
    <w:rsid w:val="004A3DD7"/>
    <w:rsid w:val="004A4BCF"/>
    <w:rsid w:val="004A53D8"/>
    <w:rsid w:val="004A6761"/>
    <w:rsid w:val="004A6AAF"/>
    <w:rsid w:val="004A6FB6"/>
    <w:rsid w:val="004A7CA2"/>
    <w:rsid w:val="004B03BB"/>
    <w:rsid w:val="004B1184"/>
    <w:rsid w:val="004B1649"/>
    <w:rsid w:val="004B1C0D"/>
    <w:rsid w:val="004B2955"/>
    <w:rsid w:val="004B60EF"/>
    <w:rsid w:val="004C0C38"/>
    <w:rsid w:val="004C2BE9"/>
    <w:rsid w:val="004C32DB"/>
    <w:rsid w:val="004C4BD1"/>
    <w:rsid w:val="004C5C26"/>
    <w:rsid w:val="004D0457"/>
    <w:rsid w:val="004D0AFA"/>
    <w:rsid w:val="004D0F58"/>
    <w:rsid w:val="004D1E4F"/>
    <w:rsid w:val="004D21D3"/>
    <w:rsid w:val="004D26C8"/>
    <w:rsid w:val="004D3523"/>
    <w:rsid w:val="004D3F7F"/>
    <w:rsid w:val="004D596E"/>
    <w:rsid w:val="004D5C03"/>
    <w:rsid w:val="004D5F77"/>
    <w:rsid w:val="004D6283"/>
    <w:rsid w:val="004E2F11"/>
    <w:rsid w:val="004E50C4"/>
    <w:rsid w:val="004E51BD"/>
    <w:rsid w:val="004E7D16"/>
    <w:rsid w:val="004F19D3"/>
    <w:rsid w:val="004F4162"/>
    <w:rsid w:val="004F477E"/>
    <w:rsid w:val="004F7146"/>
    <w:rsid w:val="004F7539"/>
    <w:rsid w:val="0050225B"/>
    <w:rsid w:val="0050388B"/>
    <w:rsid w:val="00504C5A"/>
    <w:rsid w:val="00505B6B"/>
    <w:rsid w:val="005070AF"/>
    <w:rsid w:val="005101FF"/>
    <w:rsid w:val="00510CBD"/>
    <w:rsid w:val="005112B0"/>
    <w:rsid w:val="005115BF"/>
    <w:rsid w:val="00514373"/>
    <w:rsid w:val="0051474B"/>
    <w:rsid w:val="00515A9D"/>
    <w:rsid w:val="005169D8"/>
    <w:rsid w:val="00517DEA"/>
    <w:rsid w:val="00517E87"/>
    <w:rsid w:val="00522203"/>
    <w:rsid w:val="00522A1B"/>
    <w:rsid w:val="005259EF"/>
    <w:rsid w:val="00525C09"/>
    <w:rsid w:val="00525D50"/>
    <w:rsid w:val="00526DF9"/>
    <w:rsid w:val="00527BEE"/>
    <w:rsid w:val="005317F3"/>
    <w:rsid w:val="0053287F"/>
    <w:rsid w:val="00532D1E"/>
    <w:rsid w:val="00534C30"/>
    <w:rsid w:val="00535817"/>
    <w:rsid w:val="00535914"/>
    <w:rsid w:val="00536FAF"/>
    <w:rsid w:val="005373B0"/>
    <w:rsid w:val="005410AC"/>
    <w:rsid w:val="00542E5E"/>
    <w:rsid w:val="00543A89"/>
    <w:rsid w:val="00543C87"/>
    <w:rsid w:val="00547EC5"/>
    <w:rsid w:val="00550DFD"/>
    <w:rsid w:val="00550F61"/>
    <w:rsid w:val="005572BC"/>
    <w:rsid w:val="00557F41"/>
    <w:rsid w:val="00562FC0"/>
    <w:rsid w:val="00563299"/>
    <w:rsid w:val="00564994"/>
    <w:rsid w:val="00565305"/>
    <w:rsid w:val="005658B8"/>
    <w:rsid w:val="00567819"/>
    <w:rsid w:val="005713B1"/>
    <w:rsid w:val="005719D7"/>
    <w:rsid w:val="00572BA6"/>
    <w:rsid w:val="00572C98"/>
    <w:rsid w:val="00573E0D"/>
    <w:rsid w:val="00573E85"/>
    <w:rsid w:val="00575A07"/>
    <w:rsid w:val="00577031"/>
    <w:rsid w:val="00577527"/>
    <w:rsid w:val="005801AC"/>
    <w:rsid w:val="005802DE"/>
    <w:rsid w:val="005808E9"/>
    <w:rsid w:val="00581648"/>
    <w:rsid w:val="005831D5"/>
    <w:rsid w:val="00583D47"/>
    <w:rsid w:val="0058450D"/>
    <w:rsid w:val="00586194"/>
    <w:rsid w:val="0058726D"/>
    <w:rsid w:val="00590E87"/>
    <w:rsid w:val="005943D1"/>
    <w:rsid w:val="00595EE2"/>
    <w:rsid w:val="005A11C9"/>
    <w:rsid w:val="005A379D"/>
    <w:rsid w:val="005A4477"/>
    <w:rsid w:val="005A7235"/>
    <w:rsid w:val="005B00D2"/>
    <w:rsid w:val="005B13E1"/>
    <w:rsid w:val="005B30DA"/>
    <w:rsid w:val="005B3A58"/>
    <w:rsid w:val="005B4745"/>
    <w:rsid w:val="005B5370"/>
    <w:rsid w:val="005B63E9"/>
    <w:rsid w:val="005C0283"/>
    <w:rsid w:val="005C041C"/>
    <w:rsid w:val="005C35BC"/>
    <w:rsid w:val="005C367B"/>
    <w:rsid w:val="005C4171"/>
    <w:rsid w:val="005C57E3"/>
    <w:rsid w:val="005C7C03"/>
    <w:rsid w:val="005D10F2"/>
    <w:rsid w:val="005D294E"/>
    <w:rsid w:val="005D305C"/>
    <w:rsid w:val="005D453A"/>
    <w:rsid w:val="005D4931"/>
    <w:rsid w:val="005D58E4"/>
    <w:rsid w:val="005D62D6"/>
    <w:rsid w:val="005D7926"/>
    <w:rsid w:val="005D7C6F"/>
    <w:rsid w:val="005E40F8"/>
    <w:rsid w:val="005E414F"/>
    <w:rsid w:val="005E4E5C"/>
    <w:rsid w:val="005E7539"/>
    <w:rsid w:val="005F0B45"/>
    <w:rsid w:val="005F160A"/>
    <w:rsid w:val="005F3205"/>
    <w:rsid w:val="005F343B"/>
    <w:rsid w:val="005F42A8"/>
    <w:rsid w:val="005F4A96"/>
    <w:rsid w:val="005F5965"/>
    <w:rsid w:val="005F5EE7"/>
    <w:rsid w:val="005F61B3"/>
    <w:rsid w:val="005F6B45"/>
    <w:rsid w:val="005F6B76"/>
    <w:rsid w:val="005F6ECD"/>
    <w:rsid w:val="006004D1"/>
    <w:rsid w:val="00600C8E"/>
    <w:rsid w:val="0060347A"/>
    <w:rsid w:val="0060423C"/>
    <w:rsid w:val="006063D1"/>
    <w:rsid w:val="0060667E"/>
    <w:rsid w:val="006066C3"/>
    <w:rsid w:val="006072DB"/>
    <w:rsid w:val="006108E3"/>
    <w:rsid w:val="00610DE2"/>
    <w:rsid w:val="00612520"/>
    <w:rsid w:val="0061688F"/>
    <w:rsid w:val="00622DB5"/>
    <w:rsid w:val="00623150"/>
    <w:rsid w:val="00625E01"/>
    <w:rsid w:val="00630014"/>
    <w:rsid w:val="006308BE"/>
    <w:rsid w:val="00631858"/>
    <w:rsid w:val="00631A33"/>
    <w:rsid w:val="00637451"/>
    <w:rsid w:val="0064003A"/>
    <w:rsid w:val="0064048D"/>
    <w:rsid w:val="00641F89"/>
    <w:rsid w:val="00642A1A"/>
    <w:rsid w:val="00645F31"/>
    <w:rsid w:val="00646025"/>
    <w:rsid w:val="00646C03"/>
    <w:rsid w:val="00646C81"/>
    <w:rsid w:val="00646D88"/>
    <w:rsid w:val="006510B8"/>
    <w:rsid w:val="0065121B"/>
    <w:rsid w:val="00651360"/>
    <w:rsid w:val="00652449"/>
    <w:rsid w:val="00652F92"/>
    <w:rsid w:val="00653A24"/>
    <w:rsid w:val="00655AD7"/>
    <w:rsid w:val="00657120"/>
    <w:rsid w:val="006609B9"/>
    <w:rsid w:val="00662B9B"/>
    <w:rsid w:val="0067016E"/>
    <w:rsid w:val="00671610"/>
    <w:rsid w:val="00671725"/>
    <w:rsid w:val="00671BFE"/>
    <w:rsid w:val="00672C35"/>
    <w:rsid w:val="00674424"/>
    <w:rsid w:val="006776CB"/>
    <w:rsid w:val="006778A5"/>
    <w:rsid w:val="00685825"/>
    <w:rsid w:val="00685CAC"/>
    <w:rsid w:val="00685E08"/>
    <w:rsid w:val="00686BE8"/>
    <w:rsid w:val="00687149"/>
    <w:rsid w:val="0068716F"/>
    <w:rsid w:val="00687C74"/>
    <w:rsid w:val="00687CEC"/>
    <w:rsid w:val="006934F4"/>
    <w:rsid w:val="006963D8"/>
    <w:rsid w:val="006A0E08"/>
    <w:rsid w:val="006A19FC"/>
    <w:rsid w:val="006A4CB2"/>
    <w:rsid w:val="006A690F"/>
    <w:rsid w:val="006A71C4"/>
    <w:rsid w:val="006A7BB4"/>
    <w:rsid w:val="006A7ECA"/>
    <w:rsid w:val="006B09B6"/>
    <w:rsid w:val="006B4CE1"/>
    <w:rsid w:val="006B6A02"/>
    <w:rsid w:val="006C181C"/>
    <w:rsid w:val="006C2490"/>
    <w:rsid w:val="006C24CD"/>
    <w:rsid w:val="006C278B"/>
    <w:rsid w:val="006C28BB"/>
    <w:rsid w:val="006C44C0"/>
    <w:rsid w:val="006C4812"/>
    <w:rsid w:val="006C7A0F"/>
    <w:rsid w:val="006D1AB8"/>
    <w:rsid w:val="006D2479"/>
    <w:rsid w:val="006D2C56"/>
    <w:rsid w:val="006D2E7F"/>
    <w:rsid w:val="006D43FC"/>
    <w:rsid w:val="006D4624"/>
    <w:rsid w:val="006D60AE"/>
    <w:rsid w:val="006D614F"/>
    <w:rsid w:val="006D70F7"/>
    <w:rsid w:val="006D793B"/>
    <w:rsid w:val="006D794A"/>
    <w:rsid w:val="006E04EC"/>
    <w:rsid w:val="006E3522"/>
    <w:rsid w:val="006E3544"/>
    <w:rsid w:val="006E4D88"/>
    <w:rsid w:val="006F37F6"/>
    <w:rsid w:val="006F3E97"/>
    <w:rsid w:val="006F491F"/>
    <w:rsid w:val="006F4E0F"/>
    <w:rsid w:val="006F5166"/>
    <w:rsid w:val="006F5909"/>
    <w:rsid w:val="006F73B6"/>
    <w:rsid w:val="00701F11"/>
    <w:rsid w:val="00702BD5"/>
    <w:rsid w:val="007038A0"/>
    <w:rsid w:val="00703FF2"/>
    <w:rsid w:val="00704417"/>
    <w:rsid w:val="00704EA7"/>
    <w:rsid w:val="00706A8E"/>
    <w:rsid w:val="00710EF4"/>
    <w:rsid w:val="00713D5B"/>
    <w:rsid w:val="00714EC4"/>
    <w:rsid w:val="00715D24"/>
    <w:rsid w:val="00721D6E"/>
    <w:rsid w:val="00726123"/>
    <w:rsid w:val="0072666F"/>
    <w:rsid w:val="00726D37"/>
    <w:rsid w:val="007270AE"/>
    <w:rsid w:val="00727909"/>
    <w:rsid w:val="0073195A"/>
    <w:rsid w:val="00733002"/>
    <w:rsid w:val="00737298"/>
    <w:rsid w:val="007373A0"/>
    <w:rsid w:val="00737AFC"/>
    <w:rsid w:val="0074459A"/>
    <w:rsid w:val="00747266"/>
    <w:rsid w:val="00751439"/>
    <w:rsid w:val="00751654"/>
    <w:rsid w:val="00752C1E"/>
    <w:rsid w:val="00752F73"/>
    <w:rsid w:val="00753501"/>
    <w:rsid w:val="00756FD0"/>
    <w:rsid w:val="00757761"/>
    <w:rsid w:val="00757A68"/>
    <w:rsid w:val="00757CBF"/>
    <w:rsid w:val="0076158B"/>
    <w:rsid w:val="00762146"/>
    <w:rsid w:val="00764881"/>
    <w:rsid w:val="00765FDB"/>
    <w:rsid w:val="007676B0"/>
    <w:rsid w:val="00770E4B"/>
    <w:rsid w:val="0077240E"/>
    <w:rsid w:val="0078371F"/>
    <w:rsid w:val="00784988"/>
    <w:rsid w:val="007857F7"/>
    <w:rsid w:val="0078612E"/>
    <w:rsid w:val="00790E14"/>
    <w:rsid w:val="00790EAC"/>
    <w:rsid w:val="0079344F"/>
    <w:rsid w:val="007949E6"/>
    <w:rsid w:val="00794FF1"/>
    <w:rsid w:val="007963D2"/>
    <w:rsid w:val="007A0646"/>
    <w:rsid w:val="007A173E"/>
    <w:rsid w:val="007A2666"/>
    <w:rsid w:val="007A6224"/>
    <w:rsid w:val="007A6CC1"/>
    <w:rsid w:val="007A737E"/>
    <w:rsid w:val="007A7464"/>
    <w:rsid w:val="007A7755"/>
    <w:rsid w:val="007B082D"/>
    <w:rsid w:val="007B38F9"/>
    <w:rsid w:val="007B3D51"/>
    <w:rsid w:val="007B4301"/>
    <w:rsid w:val="007B4E3E"/>
    <w:rsid w:val="007B733E"/>
    <w:rsid w:val="007C01E8"/>
    <w:rsid w:val="007C0B64"/>
    <w:rsid w:val="007C120D"/>
    <w:rsid w:val="007C1281"/>
    <w:rsid w:val="007C1619"/>
    <w:rsid w:val="007C357E"/>
    <w:rsid w:val="007C4F70"/>
    <w:rsid w:val="007C535A"/>
    <w:rsid w:val="007C5636"/>
    <w:rsid w:val="007C648B"/>
    <w:rsid w:val="007C7CE9"/>
    <w:rsid w:val="007D04AE"/>
    <w:rsid w:val="007D05F8"/>
    <w:rsid w:val="007D0627"/>
    <w:rsid w:val="007D3A00"/>
    <w:rsid w:val="007D48FF"/>
    <w:rsid w:val="007D4C1C"/>
    <w:rsid w:val="007D4FE9"/>
    <w:rsid w:val="007D7323"/>
    <w:rsid w:val="007E0C80"/>
    <w:rsid w:val="007E1C03"/>
    <w:rsid w:val="007E1F3A"/>
    <w:rsid w:val="007E2726"/>
    <w:rsid w:val="007E361A"/>
    <w:rsid w:val="007E45C8"/>
    <w:rsid w:val="007E70D2"/>
    <w:rsid w:val="007E72F6"/>
    <w:rsid w:val="007E7BD8"/>
    <w:rsid w:val="007F1113"/>
    <w:rsid w:val="007F2EEF"/>
    <w:rsid w:val="007F398B"/>
    <w:rsid w:val="007F3E3F"/>
    <w:rsid w:val="007F4474"/>
    <w:rsid w:val="007F4ED0"/>
    <w:rsid w:val="00802A81"/>
    <w:rsid w:val="00803A5C"/>
    <w:rsid w:val="008047B4"/>
    <w:rsid w:val="00804DF7"/>
    <w:rsid w:val="008065A0"/>
    <w:rsid w:val="00811ADC"/>
    <w:rsid w:val="0081209C"/>
    <w:rsid w:val="00812965"/>
    <w:rsid w:val="00812FB9"/>
    <w:rsid w:val="008153C5"/>
    <w:rsid w:val="008162CF"/>
    <w:rsid w:val="00817387"/>
    <w:rsid w:val="00817754"/>
    <w:rsid w:val="008212FF"/>
    <w:rsid w:val="008215FF"/>
    <w:rsid w:val="00822FE1"/>
    <w:rsid w:val="00823224"/>
    <w:rsid w:val="00824783"/>
    <w:rsid w:val="00824887"/>
    <w:rsid w:val="00826068"/>
    <w:rsid w:val="008260D8"/>
    <w:rsid w:val="00827D2B"/>
    <w:rsid w:val="0083183E"/>
    <w:rsid w:val="00841837"/>
    <w:rsid w:val="00843A72"/>
    <w:rsid w:val="008460EB"/>
    <w:rsid w:val="0084743F"/>
    <w:rsid w:val="00850691"/>
    <w:rsid w:val="00856CB4"/>
    <w:rsid w:val="00860B83"/>
    <w:rsid w:val="00860EB3"/>
    <w:rsid w:val="00863D5E"/>
    <w:rsid w:val="008647F9"/>
    <w:rsid w:val="00864A0E"/>
    <w:rsid w:val="00865AB2"/>
    <w:rsid w:val="00866CF3"/>
    <w:rsid w:val="00867F8F"/>
    <w:rsid w:val="00874CD8"/>
    <w:rsid w:val="00876473"/>
    <w:rsid w:val="00880929"/>
    <w:rsid w:val="0088197D"/>
    <w:rsid w:val="00881D4F"/>
    <w:rsid w:val="00881DE5"/>
    <w:rsid w:val="00882669"/>
    <w:rsid w:val="0088286C"/>
    <w:rsid w:val="0088291B"/>
    <w:rsid w:val="008835F7"/>
    <w:rsid w:val="00886A1B"/>
    <w:rsid w:val="0088770F"/>
    <w:rsid w:val="00890788"/>
    <w:rsid w:val="008908D1"/>
    <w:rsid w:val="00890E1F"/>
    <w:rsid w:val="00891B8F"/>
    <w:rsid w:val="008939DD"/>
    <w:rsid w:val="00894228"/>
    <w:rsid w:val="008948E4"/>
    <w:rsid w:val="00894A5E"/>
    <w:rsid w:val="008952CA"/>
    <w:rsid w:val="008A08A5"/>
    <w:rsid w:val="008A096E"/>
    <w:rsid w:val="008A28B1"/>
    <w:rsid w:val="008A3D11"/>
    <w:rsid w:val="008A5854"/>
    <w:rsid w:val="008A663E"/>
    <w:rsid w:val="008B0859"/>
    <w:rsid w:val="008B2B49"/>
    <w:rsid w:val="008B44E6"/>
    <w:rsid w:val="008B6408"/>
    <w:rsid w:val="008B749B"/>
    <w:rsid w:val="008B79AA"/>
    <w:rsid w:val="008C0D87"/>
    <w:rsid w:val="008C1274"/>
    <w:rsid w:val="008C1C61"/>
    <w:rsid w:val="008C2B63"/>
    <w:rsid w:val="008C4BBB"/>
    <w:rsid w:val="008C6027"/>
    <w:rsid w:val="008C74D7"/>
    <w:rsid w:val="008C7AAD"/>
    <w:rsid w:val="008C7E98"/>
    <w:rsid w:val="008D427F"/>
    <w:rsid w:val="008D4B40"/>
    <w:rsid w:val="008D70E0"/>
    <w:rsid w:val="008D7963"/>
    <w:rsid w:val="008D7985"/>
    <w:rsid w:val="008D79F6"/>
    <w:rsid w:val="008D7A52"/>
    <w:rsid w:val="008E08ED"/>
    <w:rsid w:val="008E09AE"/>
    <w:rsid w:val="008E0EAA"/>
    <w:rsid w:val="008E1573"/>
    <w:rsid w:val="008E2400"/>
    <w:rsid w:val="008E41BA"/>
    <w:rsid w:val="008E50BB"/>
    <w:rsid w:val="008E5523"/>
    <w:rsid w:val="008E7E19"/>
    <w:rsid w:val="008F0D70"/>
    <w:rsid w:val="008F2941"/>
    <w:rsid w:val="008F588C"/>
    <w:rsid w:val="008F7A81"/>
    <w:rsid w:val="00900BC0"/>
    <w:rsid w:val="009013E4"/>
    <w:rsid w:val="009021C2"/>
    <w:rsid w:val="009030D4"/>
    <w:rsid w:val="0090436A"/>
    <w:rsid w:val="00905441"/>
    <w:rsid w:val="00905AB8"/>
    <w:rsid w:val="00910B75"/>
    <w:rsid w:val="0091131A"/>
    <w:rsid w:val="0091215E"/>
    <w:rsid w:val="009121CF"/>
    <w:rsid w:val="00912688"/>
    <w:rsid w:val="00912AD6"/>
    <w:rsid w:val="00914506"/>
    <w:rsid w:val="00920520"/>
    <w:rsid w:val="00921BF6"/>
    <w:rsid w:val="00923E64"/>
    <w:rsid w:val="009257F8"/>
    <w:rsid w:val="00927BAA"/>
    <w:rsid w:val="009300EA"/>
    <w:rsid w:val="0093031D"/>
    <w:rsid w:val="00931BEA"/>
    <w:rsid w:val="00932FE9"/>
    <w:rsid w:val="00935FA4"/>
    <w:rsid w:val="0093616C"/>
    <w:rsid w:val="00937043"/>
    <w:rsid w:val="00942906"/>
    <w:rsid w:val="009429B3"/>
    <w:rsid w:val="00942F07"/>
    <w:rsid w:val="0094336C"/>
    <w:rsid w:val="00943C7F"/>
    <w:rsid w:val="0094616A"/>
    <w:rsid w:val="00950AA7"/>
    <w:rsid w:val="00950B62"/>
    <w:rsid w:val="009519EF"/>
    <w:rsid w:val="00951B24"/>
    <w:rsid w:val="0095321E"/>
    <w:rsid w:val="00953B32"/>
    <w:rsid w:val="00954EBE"/>
    <w:rsid w:val="009557C8"/>
    <w:rsid w:val="0095648B"/>
    <w:rsid w:val="00957C2A"/>
    <w:rsid w:val="0096018B"/>
    <w:rsid w:val="00963075"/>
    <w:rsid w:val="00965E1F"/>
    <w:rsid w:val="00965FE3"/>
    <w:rsid w:val="0097099F"/>
    <w:rsid w:val="00970BE2"/>
    <w:rsid w:val="00970F50"/>
    <w:rsid w:val="009711CA"/>
    <w:rsid w:val="00973E7D"/>
    <w:rsid w:val="00975413"/>
    <w:rsid w:val="00975DCB"/>
    <w:rsid w:val="0097688E"/>
    <w:rsid w:val="00977DF0"/>
    <w:rsid w:val="00980D33"/>
    <w:rsid w:val="00980E09"/>
    <w:rsid w:val="00982BB0"/>
    <w:rsid w:val="00982CA6"/>
    <w:rsid w:val="00987C8F"/>
    <w:rsid w:val="00992587"/>
    <w:rsid w:val="009926A0"/>
    <w:rsid w:val="00992D88"/>
    <w:rsid w:val="00992E29"/>
    <w:rsid w:val="00997955"/>
    <w:rsid w:val="009A0204"/>
    <w:rsid w:val="009A165B"/>
    <w:rsid w:val="009A382D"/>
    <w:rsid w:val="009A3C80"/>
    <w:rsid w:val="009A4668"/>
    <w:rsid w:val="009B289E"/>
    <w:rsid w:val="009B2C69"/>
    <w:rsid w:val="009B4D92"/>
    <w:rsid w:val="009C0015"/>
    <w:rsid w:val="009C085C"/>
    <w:rsid w:val="009C186F"/>
    <w:rsid w:val="009C3321"/>
    <w:rsid w:val="009C417B"/>
    <w:rsid w:val="009C68A2"/>
    <w:rsid w:val="009D0FC6"/>
    <w:rsid w:val="009D13D5"/>
    <w:rsid w:val="009D3D05"/>
    <w:rsid w:val="009D5017"/>
    <w:rsid w:val="009D5329"/>
    <w:rsid w:val="009D5502"/>
    <w:rsid w:val="009D5C94"/>
    <w:rsid w:val="009D5EB7"/>
    <w:rsid w:val="009D606A"/>
    <w:rsid w:val="009D7687"/>
    <w:rsid w:val="009E0986"/>
    <w:rsid w:val="009E16B2"/>
    <w:rsid w:val="009E1F43"/>
    <w:rsid w:val="009E66D3"/>
    <w:rsid w:val="009E6721"/>
    <w:rsid w:val="009E7234"/>
    <w:rsid w:val="009E78F5"/>
    <w:rsid w:val="009E7AB3"/>
    <w:rsid w:val="009F1523"/>
    <w:rsid w:val="009F45D7"/>
    <w:rsid w:val="009F518D"/>
    <w:rsid w:val="009F73DA"/>
    <w:rsid w:val="009F779B"/>
    <w:rsid w:val="00A040A0"/>
    <w:rsid w:val="00A04952"/>
    <w:rsid w:val="00A05BC9"/>
    <w:rsid w:val="00A07FD1"/>
    <w:rsid w:val="00A10224"/>
    <w:rsid w:val="00A1089D"/>
    <w:rsid w:val="00A10E2E"/>
    <w:rsid w:val="00A21E6A"/>
    <w:rsid w:val="00A23A5E"/>
    <w:rsid w:val="00A23CBA"/>
    <w:rsid w:val="00A4031D"/>
    <w:rsid w:val="00A407B9"/>
    <w:rsid w:val="00A43269"/>
    <w:rsid w:val="00A453E1"/>
    <w:rsid w:val="00A504DB"/>
    <w:rsid w:val="00A50AFA"/>
    <w:rsid w:val="00A511DA"/>
    <w:rsid w:val="00A52FC9"/>
    <w:rsid w:val="00A55B63"/>
    <w:rsid w:val="00A565B1"/>
    <w:rsid w:val="00A569C7"/>
    <w:rsid w:val="00A623F2"/>
    <w:rsid w:val="00A63548"/>
    <w:rsid w:val="00A6384A"/>
    <w:rsid w:val="00A6416B"/>
    <w:rsid w:val="00A736E5"/>
    <w:rsid w:val="00A73BFC"/>
    <w:rsid w:val="00A74FE0"/>
    <w:rsid w:val="00A75662"/>
    <w:rsid w:val="00A76ABD"/>
    <w:rsid w:val="00A77183"/>
    <w:rsid w:val="00A7724A"/>
    <w:rsid w:val="00A80EEB"/>
    <w:rsid w:val="00A82E68"/>
    <w:rsid w:val="00A8581B"/>
    <w:rsid w:val="00A9179A"/>
    <w:rsid w:val="00A930DE"/>
    <w:rsid w:val="00A93E80"/>
    <w:rsid w:val="00A9459E"/>
    <w:rsid w:val="00A96BF2"/>
    <w:rsid w:val="00AA2C91"/>
    <w:rsid w:val="00AA778F"/>
    <w:rsid w:val="00AA7F73"/>
    <w:rsid w:val="00AB00B8"/>
    <w:rsid w:val="00AB6596"/>
    <w:rsid w:val="00AC0CB6"/>
    <w:rsid w:val="00AC1D8F"/>
    <w:rsid w:val="00AC2743"/>
    <w:rsid w:val="00AD1C0B"/>
    <w:rsid w:val="00AD2FCC"/>
    <w:rsid w:val="00AD4B7F"/>
    <w:rsid w:val="00AE04F8"/>
    <w:rsid w:val="00AE42E7"/>
    <w:rsid w:val="00AE51C8"/>
    <w:rsid w:val="00AE5AFD"/>
    <w:rsid w:val="00AE65B4"/>
    <w:rsid w:val="00AE7553"/>
    <w:rsid w:val="00AF080F"/>
    <w:rsid w:val="00AF12C0"/>
    <w:rsid w:val="00AF2140"/>
    <w:rsid w:val="00AF3186"/>
    <w:rsid w:val="00AF32FD"/>
    <w:rsid w:val="00AF3508"/>
    <w:rsid w:val="00AF3539"/>
    <w:rsid w:val="00AF3620"/>
    <w:rsid w:val="00AF3993"/>
    <w:rsid w:val="00AF3C99"/>
    <w:rsid w:val="00AF4248"/>
    <w:rsid w:val="00AF4DAA"/>
    <w:rsid w:val="00AF4DAF"/>
    <w:rsid w:val="00AF6695"/>
    <w:rsid w:val="00B010CB"/>
    <w:rsid w:val="00B01248"/>
    <w:rsid w:val="00B014B1"/>
    <w:rsid w:val="00B0184E"/>
    <w:rsid w:val="00B04D8B"/>
    <w:rsid w:val="00B053D9"/>
    <w:rsid w:val="00B05EBD"/>
    <w:rsid w:val="00B10B52"/>
    <w:rsid w:val="00B135CA"/>
    <w:rsid w:val="00B163E0"/>
    <w:rsid w:val="00B17EC2"/>
    <w:rsid w:val="00B21B71"/>
    <w:rsid w:val="00B225E8"/>
    <w:rsid w:val="00B26FFC"/>
    <w:rsid w:val="00B27F2F"/>
    <w:rsid w:val="00B31D2B"/>
    <w:rsid w:val="00B3220E"/>
    <w:rsid w:val="00B323E9"/>
    <w:rsid w:val="00B32BF8"/>
    <w:rsid w:val="00B33408"/>
    <w:rsid w:val="00B34486"/>
    <w:rsid w:val="00B34AB5"/>
    <w:rsid w:val="00B35919"/>
    <w:rsid w:val="00B35B97"/>
    <w:rsid w:val="00B37D5C"/>
    <w:rsid w:val="00B41749"/>
    <w:rsid w:val="00B45CEA"/>
    <w:rsid w:val="00B46093"/>
    <w:rsid w:val="00B526A1"/>
    <w:rsid w:val="00B52958"/>
    <w:rsid w:val="00B55538"/>
    <w:rsid w:val="00B60EC2"/>
    <w:rsid w:val="00B62646"/>
    <w:rsid w:val="00B66D11"/>
    <w:rsid w:val="00B676B2"/>
    <w:rsid w:val="00B67984"/>
    <w:rsid w:val="00B73BFD"/>
    <w:rsid w:val="00B7642B"/>
    <w:rsid w:val="00B813D2"/>
    <w:rsid w:val="00B81794"/>
    <w:rsid w:val="00B8421B"/>
    <w:rsid w:val="00B85C9F"/>
    <w:rsid w:val="00B86D6C"/>
    <w:rsid w:val="00B925F8"/>
    <w:rsid w:val="00B93678"/>
    <w:rsid w:val="00B93E79"/>
    <w:rsid w:val="00B95530"/>
    <w:rsid w:val="00B96461"/>
    <w:rsid w:val="00B9650A"/>
    <w:rsid w:val="00B96883"/>
    <w:rsid w:val="00BA0170"/>
    <w:rsid w:val="00BA2303"/>
    <w:rsid w:val="00BA2D98"/>
    <w:rsid w:val="00BA3749"/>
    <w:rsid w:val="00BA3772"/>
    <w:rsid w:val="00BA71C0"/>
    <w:rsid w:val="00BB1368"/>
    <w:rsid w:val="00BB15A2"/>
    <w:rsid w:val="00BB355D"/>
    <w:rsid w:val="00BB43D1"/>
    <w:rsid w:val="00BB4778"/>
    <w:rsid w:val="00BB4B34"/>
    <w:rsid w:val="00BB6A69"/>
    <w:rsid w:val="00BC0D6B"/>
    <w:rsid w:val="00BC257C"/>
    <w:rsid w:val="00BC30EC"/>
    <w:rsid w:val="00BC35C3"/>
    <w:rsid w:val="00BC35E3"/>
    <w:rsid w:val="00BC3CFC"/>
    <w:rsid w:val="00BD1F66"/>
    <w:rsid w:val="00BD2E48"/>
    <w:rsid w:val="00BD354A"/>
    <w:rsid w:val="00BD4220"/>
    <w:rsid w:val="00BD4DE8"/>
    <w:rsid w:val="00BD6B2E"/>
    <w:rsid w:val="00BD6F49"/>
    <w:rsid w:val="00BD76C0"/>
    <w:rsid w:val="00BE074F"/>
    <w:rsid w:val="00BE0F60"/>
    <w:rsid w:val="00BE1395"/>
    <w:rsid w:val="00BE2D29"/>
    <w:rsid w:val="00BE2D9D"/>
    <w:rsid w:val="00BE5E40"/>
    <w:rsid w:val="00BE5EE2"/>
    <w:rsid w:val="00BE61B3"/>
    <w:rsid w:val="00BE6CAB"/>
    <w:rsid w:val="00BE71ED"/>
    <w:rsid w:val="00BE7616"/>
    <w:rsid w:val="00BE76E4"/>
    <w:rsid w:val="00BF09EC"/>
    <w:rsid w:val="00BF1FB9"/>
    <w:rsid w:val="00BF2629"/>
    <w:rsid w:val="00C003EE"/>
    <w:rsid w:val="00C0202B"/>
    <w:rsid w:val="00C03278"/>
    <w:rsid w:val="00C03B2E"/>
    <w:rsid w:val="00C03B45"/>
    <w:rsid w:val="00C041E3"/>
    <w:rsid w:val="00C05419"/>
    <w:rsid w:val="00C0578E"/>
    <w:rsid w:val="00C05FFC"/>
    <w:rsid w:val="00C13DED"/>
    <w:rsid w:val="00C20971"/>
    <w:rsid w:val="00C2224C"/>
    <w:rsid w:val="00C25D7A"/>
    <w:rsid w:val="00C30B74"/>
    <w:rsid w:val="00C31710"/>
    <w:rsid w:val="00C31B9D"/>
    <w:rsid w:val="00C33644"/>
    <w:rsid w:val="00C33FAE"/>
    <w:rsid w:val="00C35075"/>
    <w:rsid w:val="00C41EB4"/>
    <w:rsid w:val="00C4332F"/>
    <w:rsid w:val="00C43A69"/>
    <w:rsid w:val="00C44845"/>
    <w:rsid w:val="00C50C4E"/>
    <w:rsid w:val="00C510FA"/>
    <w:rsid w:val="00C521A4"/>
    <w:rsid w:val="00C52C38"/>
    <w:rsid w:val="00C5310D"/>
    <w:rsid w:val="00C53B9A"/>
    <w:rsid w:val="00C53F44"/>
    <w:rsid w:val="00C544B5"/>
    <w:rsid w:val="00C54D2A"/>
    <w:rsid w:val="00C5759D"/>
    <w:rsid w:val="00C57603"/>
    <w:rsid w:val="00C64FB0"/>
    <w:rsid w:val="00C65E86"/>
    <w:rsid w:val="00C660E5"/>
    <w:rsid w:val="00C6643A"/>
    <w:rsid w:val="00C71082"/>
    <w:rsid w:val="00C73E90"/>
    <w:rsid w:val="00C74BD5"/>
    <w:rsid w:val="00C74C9A"/>
    <w:rsid w:val="00C74D99"/>
    <w:rsid w:val="00C80F32"/>
    <w:rsid w:val="00C81D9C"/>
    <w:rsid w:val="00C81F28"/>
    <w:rsid w:val="00C82F3B"/>
    <w:rsid w:val="00C84C81"/>
    <w:rsid w:val="00C87EBC"/>
    <w:rsid w:val="00C90F70"/>
    <w:rsid w:val="00C91764"/>
    <w:rsid w:val="00C9364F"/>
    <w:rsid w:val="00C96358"/>
    <w:rsid w:val="00C97C96"/>
    <w:rsid w:val="00CA12FB"/>
    <w:rsid w:val="00CA1B95"/>
    <w:rsid w:val="00CA33D3"/>
    <w:rsid w:val="00CA3DF7"/>
    <w:rsid w:val="00CA3FEF"/>
    <w:rsid w:val="00CA4A18"/>
    <w:rsid w:val="00CA5844"/>
    <w:rsid w:val="00CA5B39"/>
    <w:rsid w:val="00CA69DF"/>
    <w:rsid w:val="00CA730D"/>
    <w:rsid w:val="00CB0B2A"/>
    <w:rsid w:val="00CB15E3"/>
    <w:rsid w:val="00CB2FE8"/>
    <w:rsid w:val="00CB37C6"/>
    <w:rsid w:val="00CB4F3C"/>
    <w:rsid w:val="00CB5AAC"/>
    <w:rsid w:val="00CB6138"/>
    <w:rsid w:val="00CC19AA"/>
    <w:rsid w:val="00CC1A86"/>
    <w:rsid w:val="00CC2115"/>
    <w:rsid w:val="00CC45BB"/>
    <w:rsid w:val="00CC547B"/>
    <w:rsid w:val="00CC5F91"/>
    <w:rsid w:val="00CD2BDB"/>
    <w:rsid w:val="00CD4776"/>
    <w:rsid w:val="00CE05FB"/>
    <w:rsid w:val="00CE16F8"/>
    <w:rsid w:val="00CE249C"/>
    <w:rsid w:val="00CE35E7"/>
    <w:rsid w:val="00CE3D63"/>
    <w:rsid w:val="00CE4D04"/>
    <w:rsid w:val="00CE5B6E"/>
    <w:rsid w:val="00CF45D8"/>
    <w:rsid w:val="00CF479A"/>
    <w:rsid w:val="00D00211"/>
    <w:rsid w:val="00D013D3"/>
    <w:rsid w:val="00D01507"/>
    <w:rsid w:val="00D01700"/>
    <w:rsid w:val="00D01E22"/>
    <w:rsid w:val="00D021C3"/>
    <w:rsid w:val="00D024C2"/>
    <w:rsid w:val="00D039B6"/>
    <w:rsid w:val="00D0432E"/>
    <w:rsid w:val="00D05D74"/>
    <w:rsid w:val="00D06822"/>
    <w:rsid w:val="00D07A38"/>
    <w:rsid w:val="00D15E11"/>
    <w:rsid w:val="00D203ED"/>
    <w:rsid w:val="00D20803"/>
    <w:rsid w:val="00D21B28"/>
    <w:rsid w:val="00D21C12"/>
    <w:rsid w:val="00D24221"/>
    <w:rsid w:val="00D24A50"/>
    <w:rsid w:val="00D25815"/>
    <w:rsid w:val="00D26300"/>
    <w:rsid w:val="00D27DF6"/>
    <w:rsid w:val="00D30127"/>
    <w:rsid w:val="00D30351"/>
    <w:rsid w:val="00D314FD"/>
    <w:rsid w:val="00D3359A"/>
    <w:rsid w:val="00D33969"/>
    <w:rsid w:val="00D33ABB"/>
    <w:rsid w:val="00D37826"/>
    <w:rsid w:val="00D40C90"/>
    <w:rsid w:val="00D41B2A"/>
    <w:rsid w:val="00D43047"/>
    <w:rsid w:val="00D45CBF"/>
    <w:rsid w:val="00D4695B"/>
    <w:rsid w:val="00D46BB9"/>
    <w:rsid w:val="00D46DD5"/>
    <w:rsid w:val="00D50FCD"/>
    <w:rsid w:val="00D529C1"/>
    <w:rsid w:val="00D557C1"/>
    <w:rsid w:val="00D56F95"/>
    <w:rsid w:val="00D615A1"/>
    <w:rsid w:val="00D61699"/>
    <w:rsid w:val="00D63D88"/>
    <w:rsid w:val="00D64D71"/>
    <w:rsid w:val="00D66704"/>
    <w:rsid w:val="00D67B30"/>
    <w:rsid w:val="00D70818"/>
    <w:rsid w:val="00D7144C"/>
    <w:rsid w:val="00D72116"/>
    <w:rsid w:val="00D72813"/>
    <w:rsid w:val="00D72C3F"/>
    <w:rsid w:val="00D72D91"/>
    <w:rsid w:val="00D72FD0"/>
    <w:rsid w:val="00D749DE"/>
    <w:rsid w:val="00D769E6"/>
    <w:rsid w:val="00D76C4B"/>
    <w:rsid w:val="00D80C9A"/>
    <w:rsid w:val="00D82BD2"/>
    <w:rsid w:val="00D83FFD"/>
    <w:rsid w:val="00D842A5"/>
    <w:rsid w:val="00D8506A"/>
    <w:rsid w:val="00D92289"/>
    <w:rsid w:val="00D957AE"/>
    <w:rsid w:val="00D9590C"/>
    <w:rsid w:val="00D97243"/>
    <w:rsid w:val="00DA3B0A"/>
    <w:rsid w:val="00DA4A72"/>
    <w:rsid w:val="00DB0597"/>
    <w:rsid w:val="00DB567B"/>
    <w:rsid w:val="00DB70F7"/>
    <w:rsid w:val="00DC1116"/>
    <w:rsid w:val="00DC4723"/>
    <w:rsid w:val="00DC50D4"/>
    <w:rsid w:val="00DC5253"/>
    <w:rsid w:val="00DC57F7"/>
    <w:rsid w:val="00DC6090"/>
    <w:rsid w:val="00DD1B9E"/>
    <w:rsid w:val="00DD2075"/>
    <w:rsid w:val="00DD23BB"/>
    <w:rsid w:val="00DD2994"/>
    <w:rsid w:val="00DD333A"/>
    <w:rsid w:val="00DD5065"/>
    <w:rsid w:val="00DD715D"/>
    <w:rsid w:val="00DE02F1"/>
    <w:rsid w:val="00DE1A31"/>
    <w:rsid w:val="00DE686F"/>
    <w:rsid w:val="00DF2006"/>
    <w:rsid w:val="00DF6C89"/>
    <w:rsid w:val="00DF7109"/>
    <w:rsid w:val="00DF79CF"/>
    <w:rsid w:val="00E010C7"/>
    <w:rsid w:val="00E049CF"/>
    <w:rsid w:val="00E05DA4"/>
    <w:rsid w:val="00E0763B"/>
    <w:rsid w:val="00E124DB"/>
    <w:rsid w:val="00E177F4"/>
    <w:rsid w:val="00E17BF0"/>
    <w:rsid w:val="00E24189"/>
    <w:rsid w:val="00E31361"/>
    <w:rsid w:val="00E3293E"/>
    <w:rsid w:val="00E336B4"/>
    <w:rsid w:val="00E3716F"/>
    <w:rsid w:val="00E40008"/>
    <w:rsid w:val="00E402F2"/>
    <w:rsid w:val="00E451C5"/>
    <w:rsid w:val="00E45707"/>
    <w:rsid w:val="00E47BAD"/>
    <w:rsid w:val="00E52D34"/>
    <w:rsid w:val="00E5301C"/>
    <w:rsid w:val="00E5336C"/>
    <w:rsid w:val="00E54DF9"/>
    <w:rsid w:val="00E5764B"/>
    <w:rsid w:val="00E57F5F"/>
    <w:rsid w:val="00E6085D"/>
    <w:rsid w:val="00E61A8A"/>
    <w:rsid w:val="00E62742"/>
    <w:rsid w:val="00E62B3E"/>
    <w:rsid w:val="00E641ED"/>
    <w:rsid w:val="00E65808"/>
    <w:rsid w:val="00E66718"/>
    <w:rsid w:val="00E66A17"/>
    <w:rsid w:val="00E6706E"/>
    <w:rsid w:val="00E67A95"/>
    <w:rsid w:val="00E73F4D"/>
    <w:rsid w:val="00E7416B"/>
    <w:rsid w:val="00E7513C"/>
    <w:rsid w:val="00E7565F"/>
    <w:rsid w:val="00E756E2"/>
    <w:rsid w:val="00E8404E"/>
    <w:rsid w:val="00E84768"/>
    <w:rsid w:val="00E84E11"/>
    <w:rsid w:val="00E86368"/>
    <w:rsid w:val="00E86FD3"/>
    <w:rsid w:val="00E87E7E"/>
    <w:rsid w:val="00E91608"/>
    <w:rsid w:val="00E9203D"/>
    <w:rsid w:val="00E923CD"/>
    <w:rsid w:val="00E94A26"/>
    <w:rsid w:val="00E96978"/>
    <w:rsid w:val="00E9767C"/>
    <w:rsid w:val="00EA0326"/>
    <w:rsid w:val="00EA09F4"/>
    <w:rsid w:val="00EA1F6D"/>
    <w:rsid w:val="00EA36AB"/>
    <w:rsid w:val="00EA468C"/>
    <w:rsid w:val="00EA6308"/>
    <w:rsid w:val="00EA6552"/>
    <w:rsid w:val="00EB076D"/>
    <w:rsid w:val="00EB2808"/>
    <w:rsid w:val="00EB2D90"/>
    <w:rsid w:val="00EB5194"/>
    <w:rsid w:val="00EB6195"/>
    <w:rsid w:val="00EB7EEF"/>
    <w:rsid w:val="00EC03CF"/>
    <w:rsid w:val="00EC1956"/>
    <w:rsid w:val="00EC1B13"/>
    <w:rsid w:val="00EC5A74"/>
    <w:rsid w:val="00EC6884"/>
    <w:rsid w:val="00ED1152"/>
    <w:rsid w:val="00ED1979"/>
    <w:rsid w:val="00ED3AE3"/>
    <w:rsid w:val="00ED44F8"/>
    <w:rsid w:val="00ED5D8F"/>
    <w:rsid w:val="00ED6C19"/>
    <w:rsid w:val="00ED7EEA"/>
    <w:rsid w:val="00EE2A63"/>
    <w:rsid w:val="00EE2EC8"/>
    <w:rsid w:val="00EE3F58"/>
    <w:rsid w:val="00EE4DE9"/>
    <w:rsid w:val="00EE6786"/>
    <w:rsid w:val="00EF0069"/>
    <w:rsid w:val="00EF05F9"/>
    <w:rsid w:val="00EF3916"/>
    <w:rsid w:val="00EF6634"/>
    <w:rsid w:val="00EF6A12"/>
    <w:rsid w:val="00EF6EAF"/>
    <w:rsid w:val="00F021B4"/>
    <w:rsid w:val="00F04726"/>
    <w:rsid w:val="00F052E7"/>
    <w:rsid w:val="00F05C4C"/>
    <w:rsid w:val="00F05E90"/>
    <w:rsid w:val="00F062AF"/>
    <w:rsid w:val="00F16547"/>
    <w:rsid w:val="00F2187A"/>
    <w:rsid w:val="00F24EE1"/>
    <w:rsid w:val="00F26DC1"/>
    <w:rsid w:val="00F27289"/>
    <w:rsid w:val="00F304EE"/>
    <w:rsid w:val="00F3159A"/>
    <w:rsid w:val="00F31E46"/>
    <w:rsid w:val="00F41939"/>
    <w:rsid w:val="00F427A2"/>
    <w:rsid w:val="00F43740"/>
    <w:rsid w:val="00F446C1"/>
    <w:rsid w:val="00F450EB"/>
    <w:rsid w:val="00F4739A"/>
    <w:rsid w:val="00F47492"/>
    <w:rsid w:val="00F47DA5"/>
    <w:rsid w:val="00F514DB"/>
    <w:rsid w:val="00F52A94"/>
    <w:rsid w:val="00F53A84"/>
    <w:rsid w:val="00F53B24"/>
    <w:rsid w:val="00F55808"/>
    <w:rsid w:val="00F5763D"/>
    <w:rsid w:val="00F60D7C"/>
    <w:rsid w:val="00F61541"/>
    <w:rsid w:val="00F619A3"/>
    <w:rsid w:val="00F61A69"/>
    <w:rsid w:val="00F64167"/>
    <w:rsid w:val="00F6436E"/>
    <w:rsid w:val="00F65691"/>
    <w:rsid w:val="00F726EA"/>
    <w:rsid w:val="00F7278C"/>
    <w:rsid w:val="00F73683"/>
    <w:rsid w:val="00F73C48"/>
    <w:rsid w:val="00F73D65"/>
    <w:rsid w:val="00F76344"/>
    <w:rsid w:val="00F76629"/>
    <w:rsid w:val="00F77977"/>
    <w:rsid w:val="00F80CF2"/>
    <w:rsid w:val="00F811F2"/>
    <w:rsid w:val="00F84E9D"/>
    <w:rsid w:val="00F85064"/>
    <w:rsid w:val="00F85FC8"/>
    <w:rsid w:val="00F8654B"/>
    <w:rsid w:val="00F86E97"/>
    <w:rsid w:val="00F90C2E"/>
    <w:rsid w:val="00F9366E"/>
    <w:rsid w:val="00FA0C75"/>
    <w:rsid w:val="00FA1F84"/>
    <w:rsid w:val="00FA357B"/>
    <w:rsid w:val="00FA3C6A"/>
    <w:rsid w:val="00FA4686"/>
    <w:rsid w:val="00FA509E"/>
    <w:rsid w:val="00FB074E"/>
    <w:rsid w:val="00FB1792"/>
    <w:rsid w:val="00FB28F9"/>
    <w:rsid w:val="00FB2EE4"/>
    <w:rsid w:val="00FB45C6"/>
    <w:rsid w:val="00FB4F42"/>
    <w:rsid w:val="00FB57B7"/>
    <w:rsid w:val="00FC040E"/>
    <w:rsid w:val="00FC0B87"/>
    <w:rsid w:val="00FC25AB"/>
    <w:rsid w:val="00FC4114"/>
    <w:rsid w:val="00FC47E9"/>
    <w:rsid w:val="00FC57FC"/>
    <w:rsid w:val="00FC60EC"/>
    <w:rsid w:val="00FC7203"/>
    <w:rsid w:val="00FD08B9"/>
    <w:rsid w:val="00FD1FFE"/>
    <w:rsid w:val="00FD5276"/>
    <w:rsid w:val="00FD6F6E"/>
    <w:rsid w:val="00FE1235"/>
    <w:rsid w:val="00FE127B"/>
    <w:rsid w:val="00FE2DA2"/>
    <w:rsid w:val="00FE4F07"/>
    <w:rsid w:val="00FE61C2"/>
    <w:rsid w:val="00FE7B58"/>
    <w:rsid w:val="00FF024C"/>
    <w:rsid w:val="00FF0A4E"/>
    <w:rsid w:val="00FF1398"/>
    <w:rsid w:val="00FF3D3C"/>
    <w:rsid w:val="00FF4D8A"/>
    <w:rsid w:val="00FF525E"/>
    <w:rsid w:val="00FF66D5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E37CAA"/>
  <w14:defaultImageDpi w14:val="96"/>
  <w15:docId w15:val="{D92D29B8-98DF-48D6-90E3-084D226E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A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8A08A5"/>
    <w:pPr>
      <w:keepNext/>
      <w:keepLines/>
      <w:spacing w:before="120" w:after="240" w:line="240" w:lineRule="auto"/>
      <w:jc w:val="both"/>
      <w:outlineLvl w:val="0"/>
    </w:pPr>
    <w:rPr>
      <w:rFonts w:eastAsia="Times New Roman"/>
      <w:b/>
      <w:bCs/>
      <w:smallCaps/>
      <w:color w:val="365F91"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58450D"/>
    <w:pPr>
      <w:keepNext/>
      <w:keepLines/>
      <w:pageBreakBefore/>
      <w:pBdr>
        <w:bottom w:val="single" w:sz="6" w:space="1" w:color="365F91"/>
      </w:pBdr>
      <w:spacing w:before="200" w:after="320"/>
      <w:jc w:val="center"/>
      <w:outlineLvl w:val="1"/>
    </w:pPr>
    <w:rPr>
      <w:rFonts w:eastAsia="Times New Roman" w:cs="Arial"/>
      <w:b/>
      <w:bCs/>
      <w:color w:val="365F91"/>
      <w:sz w:val="32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9"/>
    <w:qFormat/>
    <w:rsid w:val="00876473"/>
    <w:pPr>
      <w:keepNext/>
      <w:keepLines/>
      <w:pageBreakBefore/>
      <w:spacing w:before="240" w:after="240" w:line="240" w:lineRule="auto"/>
      <w:outlineLvl w:val="2"/>
    </w:pPr>
    <w:rPr>
      <w:rFonts w:cs="Arial"/>
      <w:bCs/>
      <w:smallCaps/>
      <w:color w:val="365F91"/>
      <w:sz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D615A1"/>
    <w:pPr>
      <w:keepNext/>
      <w:keepLines/>
      <w:spacing w:before="200" w:after="0"/>
      <w:ind w:left="864" w:hanging="864"/>
      <w:outlineLvl w:val="3"/>
    </w:pPr>
    <w:rPr>
      <w:rFonts w:eastAsia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D615A1"/>
    <w:pPr>
      <w:keepNext/>
      <w:keepLines/>
      <w:spacing w:before="200" w:after="0"/>
      <w:ind w:left="1008" w:hanging="1008"/>
      <w:outlineLvl w:val="4"/>
    </w:pPr>
    <w:rPr>
      <w:rFonts w:eastAsia="Times New Roman"/>
      <w:color w:val="243F6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D615A1"/>
    <w:pPr>
      <w:keepNext/>
      <w:keepLines/>
      <w:spacing w:before="200" w:after="0"/>
      <w:ind w:left="1152" w:hanging="1152"/>
      <w:outlineLvl w:val="5"/>
    </w:pPr>
    <w:rPr>
      <w:rFonts w:eastAsia="Times New Roman"/>
      <w:i/>
      <w:iCs/>
      <w:color w:val="243F6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D615A1"/>
    <w:pPr>
      <w:keepNext/>
      <w:keepLines/>
      <w:spacing w:before="200" w:after="0"/>
      <w:ind w:left="1296" w:hanging="1296"/>
      <w:outlineLvl w:val="6"/>
    </w:pPr>
    <w:rPr>
      <w:rFonts w:eastAsia="Times New Roman"/>
      <w:i/>
      <w:iCs/>
      <w:color w:val="40404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D615A1"/>
    <w:pPr>
      <w:keepNext/>
      <w:keepLines/>
      <w:spacing w:before="200" w:after="0"/>
      <w:ind w:left="1440" w:hanging="1440"/>
      <w:outlineLvl w:val="7"/>
    </w:pPr>
    <w:rPr>
      <w:rFonts w:eastAsia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D615A1"/>
    <w:pPr>
      <w:keepNext/>
      <w:keepLines/>
      <w:spacing w:before="200" w:after="0"/>
      <w:ind w:left="1584" w:hanging="1584"/>
      <w:outlineLvl w:val="8"/>
    </w:pPr>
    <w:rPr>
      <w:rFonts w:eastAsia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A08A5"/>
    <w:rPr>
      <w:rFonts w:eastAsia="Times New Roman"/>
      <w:b/>
      <w:bCs/>
      <w:smallCaps/>
      <w:color w:val="365F91"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8450D"/>
    <w:rPr>
      <w:rFonts w:ascii="Arial" w:hAnsi="Arial"/>
      <w:b/>
      <w:color w:val="365F91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76473"/>
    <w:rPr>
      <w:rFonts w:ascii="Arial" w:hAnsi="Arial"/>
      <w:b/>
      <w:smallCaps/>
      <w:color w:val="365F91"/>
      <w:sz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D615A1"/>
    <w:rPr>
      <w:rFonts w:ascii="Arial" w:hAnsi="Arial"/>
      <w:b/>
      <w:i/>
      <w:color w:val="4F81BD"/>
      <w:lang w:val="x-none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D615A1"/>
    <w:rPr>
      <w:rFonts w:ascii="Arial" w:hAnsi="Arial"/>
      <w:color w:val="243F60"/>
      <w:lang w:val="x-none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D615A1"/>
    <w:rPr>
      <w:rFonts w:ascii="Arial" w:hAnsi="Arial"/>
      <w:i/>
      <w:color w:val="243F60"/>
      <w:lang w:val="x-none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D615A1"/>
    <w:rPr>
      <w:rFonts w:ascii="Arial" w:hAnsi="Arial"/>
      <w:i/>
      <w:color w:val="404040"/>
      <w:lang w:val="x-none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D615A1"/>
    <w:rPr>
      <w:rFonts w:ascii="Arial" w:hAnsi="Arial"/>
      <w:color w:val="404040"/>
      <w:sz w:val="20"/>
      <w:lang w:val="x-none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D615A1"/>
    <w:rPr>
      <w:rFonts w:ascii="Arial" w:hAnsi="Arial"/>
      <w:i/>
      <w:color w:val="404040"/>
      <w:sz w:val="20"/>
      <w:lang w:val="x-none" w:eastAsia="cs-CZ"/>
    </w:rPr>
  </w:style>
  <w:style w:type="paragraph" w:styleId="Zhlav">
    <w:name w:val="header"/>
    <w:basedOn w:val="Normln"/>
    <w:link w:val="ZhlavChar"/>
    <w:uiPriority w:val="99"/>
    <w:rsid w:val="003B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B1E1D"/>
    <w:rPr>
      <w:rFonts w:cs="Times New Roman"/>
    </w:rPr>
  </w:style>
  <w:style w:type="paragraph" w:styleId="Zpat">
    <w:name w:val="footer"/>
    <w:basedOn w:val="Normln"/>
    <w:link w:val="ZpatChar"/>
    <w:uiPriority w:val="99"/>
    <w:rsid w:val="0056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58B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6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58B8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658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99"/>
    <w:qFormat/>
    <w:rsid w:val="005658B8"/>
    <w:pPr>
      <w:pBdr>
        <w:bottom w:val="single" w:sz="8" w:space="4" w:color="4F81BD"/>
      </w:pBdr>
      <w:spacing w:before="4000" w:after="300" w:line="240" w:lineRule="auto"/>
      <w:contextualSpacing/>
      <w:jc w:val="center"/>
    </w:pPr>
    <w:rPr>
      <w:rFonts w:eastAsia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658B8"/>
    <w:rPr>
      <w:rFonts w:ascii="Arial" w:hAnsi="Arial"/>
      <w:smallCaps/>
      <w:color w:val="17365D"/>
      <w:spacing w:val="5"/>
      <w:kern w:val="28"/>
      <w:sz w:val="52"/>
      <w:lang w:val="x-none" w:eastAsia="cs-CZ"/>
    </w:rPr>
  </w:style>
  <w:style w:type="paragraph" w:styleId="Nadpisobsahu">
    <w:name w:val="TOC Heading"/>
    <w:basedOn w:val="Nadpis1"/>
    <w:next w:val="Normln"/>
    <w:uiPriority w:val="99"/>
    <w:qFormat/>
    <w:rsid w:val="005658B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99"/>
    <w:rsid w:val="005C57E3"/>
    <w:pPr>
      <w:spacing w:after="100"/>
      <w:ind w:left="220"/>
    </w:pPr>
    <w:rPr>
      <w:rFonts w:eastAsia="Times New Roman"/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F6A12"/>
    <w:pPr>
      <w:spacing w:after="100"/>
    </w:pPr>
    <w:rPr>
      <w:rFonts w:eastAsia="Times New Roman"/>
      <w:b/>
      <w:sz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C57E3"/>
    <w:pPr>
      <w:spacing w:after="100"/>
      <w:ind w:left="440"/>
    </w:pPr>
    <w:rPr>
      <w:rFonts w:eastAsia="Times New Roman"/>
      <w:i/>
      <w:lang w:eastAsia="cs-CZ"/>
    </w:rPr>
  </w:style>
  <w:style w:type="character" w:styleId="Hypertextovodkaz">
    <w:name w:val="Hyperlink"/>
    <w:basedOn w:val="Standardnpsmoodstavce"/>
    <w:uiPriority w:val="99"/>
    <w:rsid w:val="005658B8"/>
    <w:rPr>
      <w:rFonts w:cs="Times New Roman"/>
      <w:color w:val="0000FF"/>
      <w:u w:val="single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615A1"/>
    <w:pPr>
      <w:ind w:left="720"/>
      <w:contextualSpacing/>
    </w:pPr>
    <w:rPr>
      <w:rFonts w:ascii="Calibri" w:hAnsi="Calibri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rsid w:val="0027515B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27515B"/>
    <w:rPr>
      <w:rFonts w:ascii="Arial" w:eastAsia="Times New Roman" w:hAnsi="Arial"/>
      <w:sz w:val="20"/>
    </w:rPr>
  </w:style>
  <w:style w:type="character" w:styleId="Znakapoznpodarou">
    <w:name w:val="footnote reference"/>
    <w:basedOn w:val="Standardnpsmoodstavce"/>
    <w:uiPriority w:val="99"/>
    <w:rsid w:val="00D615A1"/>
    <w:rPr>
      <w:rFonts w:cs="Times New Roman"/>
      <w:vertAlign w:val="superscript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D615A1"/>
    <w:rPr>
      <w:rFonts w:ascii="Calibri" w:eastAsia="Times New Roman" w:hAnsi="Calibri"/>
    </w:rPr>
  </w:style>
  <w:style w:type="paragraph" w:customStyle="1" w:styleId="Styl1">
    <w:name w:val="Styl1"/>
    <w:basedOn w:val="Normln"/>
    <w:link w:val="Styl1Char"/>
    <w:uiPriority w:val="99"/>
    <w:rsid w:val="00F304EE"/>
    <w:rPr>
      <w:rFonts w:ascii="Cambria" w:hAnsi="Cambria"/>
      <w:b/>
      <w:smallCaps/>
      <w:color w:val="24AA26"/>
      <w:sz w:val="32"/>
    </w:rPr>
  </w:style>
  <w:style w:type="paragraph" w:styleId="Normlnweb">
    <w:name w:val="Normal (Web)"/>
    <w:basedOn w:val="Normln"/>
    <w:uiPriority w:val="99"/>
    <w:semiHidden/>
    <w:rsid w:val="00D61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615A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615A1"/>
    <w:rPr>
      <w:rFonts w:ascii="Times New Roman" w:hAnsi="Times New Roman"/>
      <w:sz w:val="20"/>
      <w:lang w:val="x-none" w:eastAsia="cs-CZ"/>
    </w:rPr>
  </w:style>
  <w:style w:type="paragraph" w:customStyle="1" w:styleId="Default">
    <w:name w:val="Default"/>
    <w:uiPriority w:val="99"/>
    <w:rsid w:val="00D61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Styl1Char">
    <w:name w:val="Styl1 Char"/>
    <w:link w:val="Styl1"/>
    <w:uiPriority w:val="99"/>
    <w:locked/>
    <w:rsid w:val="00F304EE"/>
    <w:rPr>
      <w:rFonts w:ascii="Cambria" w:hAnsi="Cambria"/>
      <w:b/>
      <w:smallCaps/>
      <w:color w:val="24AA26"/>
      <w:sz w:val="32"/>
    </w:rPr>
  </w:style>
  <w:style w:type="paragraph" w:customStyle="1" w:styleId="Nadpis1bile">
    <w:name w:val="Nadpis_1_bile"/>
    <w:basedOn w:val="Nadpis1"/>
    <w:uiPriority w:val="99"/>
    <w:rsid w:val="003B1E1D"/>
    <w:rPr>
      <w:color w:val="FFFFFF"/>
    </w:rPr>
  </w:style>
  <w:style w:type="paragraph" w:customStyle="1" w:styleId="Nadpisobsah">
    <w:name w:val="Nadpis_obsah"/>
    <w:basedOn w:val="Nadpis1"/>
    <w:uiPriority w:val="99"/>
    <w:rsid w:val="00BD354A"/>
    <w:pPr>
      <w:spacing w:after="480"/>
    </w:pPr>
  </w:style>
  <w:style w:type="paragraph" w:customStyle="1" w:styleId="Text">
    <w:name w:val="_Text"/>
    <w:basedOn w:val="Normln"/>
    <w:uiPriority w:val="99"/>
    <w:rsid w:val="00DF6C89"/>
    <w:pPr>
      <w:keepNext/>
      <w:spacing w:after="120"/>
      <w:jc w:val="both"/>
    </w:pPr>
    <w:rPr>
      <w:rFonts w:cs="Arial"/>
      <w:szCs w:val="24"/>
    </w:rPr>
  </w:style>
  <w:style w:type="paragraph" w:customStyle="1" w:styleId="Odrka">
    <w:name w:val="_Odrážka"/>
    <w:basedOn w:val="Odstavecseseznamem"/>
    <w:uiPriority w:val="99"/>
    <w:rsid w:val="00F43740"/>
    <w:pPr>
      <w:shd w:val="clear" w:color="auto" w:fill="FFFFFF"/>
      <w:spacing w:after="120"/>
      <w:ind w:left="0"/>
      <w:contextualSpacing w:val="0"/>
      <w:jc w:val="both"/>
    </w:pPr>
    <w:rPr>
      <w:rFonts w:ascii="Arial" w:hAnsi="Arial" w:cs="Arial"/>
      <w:szCs w:val="24"/>
    </w:rPr>
  </w:style>
  <w:style w:type="paragraph" w:customStyle="1" w:styleId="Vsledky">
    <w:name w:val="_Výsledky"/>
    <w:basedOn w:val="Nadpis3"/>
    <w:next w:val="Odrka"/>
    <w:uiPriority w:val="99"/>
    <w:rsid w:val="0027515B"/>
    <w:pPr>
      <w:autoSpaceDE w:val="0"/>
      <w:autoSpaceDN w:val="0"/>
      <w:adjustRightInd w:val="0"/>
      <w:jc w:val="both"/>
    </w:pPr>
    <w:rPr>
      <w:bCs w:val="0"/>
      <w:smallCaps w:val="0"/>
      <w:color w:val="auto"/>
      <w:sz w:val="24"/>
    </w:rPr>
  </w:style>
  <w:style w:type="paragraph" w:customStyle="1" w:styleId="Programzvr">
    <w:name w:val="_Program_závěr"/>
    <w:basedOn w:val="Nadpis4"/>
    <w:next w:val="Odrka"/>
    <w:autoRedefine/>
    <w:uiPriority w:val="99"/>
    <w:rsid w:val="0000546D"/>
    <w:pPr>
      <w:spacing w:before="0" w:after="120"/>
      <w:ind w:left="862" w:hanging="720"/>
      <w:jc w:val="both"/>
    </w:pPr>
    <w:rPr>
      <w:rFonts w:cs="Arial"/>
      <w:i w:val="0"/>
      <w:color w:val="auto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79344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793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9344F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93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9344F"/>
    <w:rPr>
      <w:b/>
      <w:sz w:val="20"/>
    </w:rPr>
  </w:style>
  <w:style w:type="character" w:styleId="Siln">
    <w:name w:val="Strong"/>
    <w:basedOn w:val="Standardnpsmoodstavce"/>
    <w:uiPriority w:val="22"/>
    <w:qFormat/>
    <w:rsid w:val="00F619A3"/>
    <w:rPr>
      <w:rFonts w:cs="Times New Roman"/>
      <w:b/>
    </w:rPr>
  </w:style>
  <w:style w:type="paragraph" w:styleId="Revize">
    <w:name w:val="Revision"/>
    <w:hidden/>
    <w:uiPriority w:val="99"/>
    <w:semiHidden/>
    <w:rsid w:val="00AC0CB6"/>
    <w:pPr>
      <w:spacing w:after="0" w:line="240" w:lineRule="auto"/>
    </w:pPr>
    <w:rPr>
      <w:lang w:eastAsia="en-US"/>
    </w:rPr>
  </w:style>
  <w:style w:type="paragraph" w:styleId="Bezmezer">
    <w:name w:val="No Spacing"/>
    <w:uiPriority w:val="99"/>
    <w:qFormat/>
    <w:rsid w:val="007A173E"/>
    <w:pPr>
      <w:spacing w:after="0" w:line="240" w:lineRule="auto"/>
    </w:pPr>
    <w:rPr>
      <w:lang w:eastAsia="en-US"/>
    </w:rPr>
  </w:style>
  <w:style w:type="paragraph" w:customStyle="1" w:styleId="Textodstavce">
    <w:name w:val="Text odstavce"/>
    <w:basedOn w:val="Default"/>
    <w:next w:val="Default"/>
    <w:link w:val="TextodstavceChar"/>
    <w:uiPriority w:val="99"/>
    <w:rsid w:val="00A50AFA"/>
    <w:rPr>
      <w:rFonts w:eastAsia="Arial"/>
      <w:color w:val="auto"/>
      <w:lang w:eastAsia="en-US"/>
    </w:rPr>
  </w:style>
  <w:style w:type="character" w:customStyle="1" w:styleId="TextodstavceChar">
    <w:name w:val="Text odstavce Char"/>
    <w:link w:val="Textodstavce"/>
    <w:uiPriority w:val="99"/>
    <w:locked/>
    <w:rsid w:val="00A50AFA"/>
    <w:rPr>
      <w:rFonts w:ascii="Times New Roman" w:hAnsi="Times New Roman"/>
      <w:sz w:val="24"/>
    </w:rPr>
  </w:style>
  <w:style w:type="paragraph" w:customStyle="1" w:styleId="Obrzek-nadpis">
    <w:name w:val="Obrázek - nadpis"/>
    <w:basedOn w:val="Normln"/>
    <w:qFormat/>
    <w:rsid w:val="00252A12"/>
    <w:pPr>
      <w:keepNext/>
      <w:spacing w:before="120" w:after="240" w:line="240" w:lineRule="auto"/>
      <w:jc w:val="both"/>
    </w:pPr>
    <w:rPr>
      <w:rFonts w:eastAsia="Times New Roman"/>
      <w:b/>
      <w:szCs w:val="24"/>
      <w:lang w:eastAsia="cs-CZ"/>
    </w:rPr>
  </w:style>
  <w:style w:type="paragraph" w:customStyle="1" w:styleId="Zdrojapoznmka">
    <w:name w:val="Zdroj a poznámka"/>
    <w:basedOn w:val="Normln"/>
    <w:qFormat/>
    <w:rsid w:val="00252A12"/>
    <w:pPr>
      <w:spacing w:before="120" w:after="240" w:line="288" w:lineRule="auto"/>
      <w:contextualSpacing/>
      <w:jc w:val="both"/>
    </w:pPr>
    <w:rPr>
      <w:rFonts w:eastAsia="Times New Roman"/>
      <w:i/>
      <w:sz w:val="18"/>
      <w:szCs w:val="24"/>
      <w:lang w:eastAsia="cs-CZ"/>
    </w:rPr>
  </w:style>
  <w:style w:type="paragraph" w:customStyle="1" w:styleId="Nadpisbezstranky">
    <w:name w:val="Nadpis_bez_stranky"/>
    <w:basedOn w:val="Nadpis3"/>
    <w:uiPriority w:val="99"/>
    <w:rsid w:val="00876473"/>
    <w:pPr>
      <w:pageBreakBefore w:val="0"/>
    </w:pPr>
  </w:style>
  <w:style w:type="character" w:customStyle="1" w:styleId="viiyi">
    <w:name w:val="viiyi"/>
    <w:basedOn w:val="Standardnpsmoodstavce"/>
    <w:uiPriority w:val="99"/>
    <w:rsid w:val="00C2224C"/>
    <w:rPr>
      <w:rFonts w:cs="Times New Roman"/>
    </w:rPr>
  </w:style>
  <w:style w:type="character" w:customStyle="1" w:styleId="jlqj4b">
    <w:name w:val="jlqj4b"/>
    <w:basedOn w:val="Standardnpsmoodstavce"/>
    <w:uiPriority w:val="99"/>
    <w:rsid w:val="00C2224C"/>
    <w:rPr>
      <w:rFonts w:cs="Times New Roman"/>
    </w:rPr>
  </w:style>
  <w:style w:type="numbering" w:customStyle="1" w:styleId="Styl3">
    <w:name w:val="Styl3"/>
    <w:rsid w:val="00103D9E"/>
    <w:pPr>
      <w:numPr>
        <w:numId w:val="1"/>
      </w:numPr>
    </w:pPr>
  </w:style>
  <w:style w:type="character" w:styleId="Sledovanodkaz">
    <w:name w:val="FollowedHyperlink"/>
    <w:basedOn w:val="Standardnpsmoodstavce"/>
    <w:uiPriority w:val="99"/>
    <w:semiHidden/>
    <w:unhideWhenUsed/>
    <w:locked/>
    <w:rsid w:val="00C03B45"/>
    <w:rPr>
      <w:color w:val="954F72"/>
      <w:u w:val="single"/>
    </w:rPr>
  </w:style>
  <w:style w:type="paragraph" w:customStyle="1" w:styleId="msonormal0">
    <w:name w:val="msonormal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63">
    <w:name w:val="xl63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4">
    <w:name w:val="xl6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6">
    <w:name w:val="xl6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8">
    <w:name w:val="xl68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9">
    <w:name w:val="xl69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0">
    <w:name w:val="xl70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1">
    <w:name w:val="xl71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2">
    <w:name w:val="xl7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3">
    <w:name w:val="xl7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4">
    <w:name w:val="xl74"/>
    <w:basedOn w:val="Normln"/>
    <w:rsid w:val="00C03B4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5">
    <w:name w:val="xl75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6">
    <w:name w:val="xl76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7">
    <w:name w:val="xl77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8">
    <w:name w:val="xl78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9">
    <w:name w:val="xl79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0">
    <w:name w:val="xl80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1">
    <w:name w:val="xl81"/>
    <w:basedOn w:val="Normln"/>
    <w:rsid w:val="00C03B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2">
    <w:name w:val="xl8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83">
    <w:name w:val="xl8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4">
    <w:name w:val="xl8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5">
    <w:name w:val="xl8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6">
    <w:name w:val="xl8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7">
    <w:name w:val="xl87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8">
    <w:name w:val="xl88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9">
    <w:name w:val="xl89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0">
    <w:name w:val="xl90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1">
    <w:name w:val="xl91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2">
    <w:name w:val="xl92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3">
    <w:name w:val="xl93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4">
    <w:name w:val="xl94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5">
    <w:name w:val="xl95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6">
    <w:name w:val="xl96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7">
    <w:name w:val="xl97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table" w:styleId="Barevntabulkaseznamu7">
    <w:name w:val="List Table 7 Colorful"/>
    <w:basedOn w:val="Normlntabulka"/>
    <w:uiPriority w:val="52"/>
    <w:rsid w:val="0017044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1573F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7E1F3A"/>
    <w:rPr>
      <w:color w:val="605E5C"/>
      <w:shd w:val="clear" w:color="auto" w:fill="E1DFDD"/>
    </w:rPr>
  </w:style>
  <w:style w:type="table" w:styleId="Prosttabulka2">
    <w:name w:val="Plain Table 2"/>
    <w:basedOn w:val="Normlntabulka"/>
    <w:uiPriority w:val="42"/>
    <w:rsid w:val="00E010C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lkasmkou2">
    <w:name w:val="Grid Table 2"/>
    <w:basedOn w:val="Normlntabulka"/>
    <w:uiPriority w:val="47"/>
    <w:rsid w:val="00E010C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3zvraznn3">
    <w:name w:val="Grid Table 3 Accent 3"/>
    <w:basedOn w:val="Normlntabulka"/>
    <w:uiPriority w:val="48"/>
    <w:rsid w:val="00E010C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C31B9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C31B9D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4.png"/><Relationship Id="rId26" Type="http://schemas.openxmlformats.org/officeDocument/2006/relationships/hyperlink" Target="https://cultureactioneurope.org/wp-content/uploads/2024/06/Horizon-FP10-position-paper-1.pdf" TargetMode="External"/><Relationship Id="rId39" Type="http://schemas.openxmlformats.org/officeDocument/2006/relationships/hyperlink" Target="https://www.tc.cz/cs/publikace/179/echo-2-2024" TargetMode="External"/><Relationship Id="rId21" Type="http://schemas.openxmlformats.org/officeDocument/2006/relationships/header" Target="header3.xml"/><Relationship Id="rId34" Type="http://schemas.openxmlformats.org/officeDocument/2006/relationships/hyperlink" Target="https://eur-lex.europa.eu/legal-content/CS/ALL/?uri=CELEX%3A32021R0695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hyperlink" Target="https://www.vyzkumne-infrastruktury.cz/cestovni-mapa-velkych-vyzkumnych-infrastruktur-cr/" TargetMode="External"/><Relationship Id="rId29" Type="http://schemas.openxmlformats.org/officeDocument/2006/relationships/hyperlink" Target="https://op.europa.eu/cs/publication-detail/-/publication/6cf8db13-62bb-11f0-bf4e-01aa75ed71a1/language-en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s://www.leru.org/files/Joint-position-paper_SSH-in-FP10.pdf" TargetMode="External"/><Relationship Id="rId32" Type="http://schemas.openxmlformats.org/officeDocument/2006/relationships/hyperlink" Target="https://eassh.eu/Position-Papers/2025/EASSH-Sept-2025-Society-in-FP10-proposal-is-for-research-on-society.pdf" TargetMode="External"/><Relationship Id="rId37" Type="http://schemas.openxmlformats.org/officeDocument/2006/relationships/hyperlink" Target="https://www.scienceeurope.org/media/tmpmkw0l/fp10_position_paper_05072024.pdf" TargetMode="External"/><Relationship Id="rId40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hyperlink" Target="https://www.unica-network.eu/wp-content/uploads/2024/12/Joint-position-paper_SSHinFP10_29112024.pdf" TargetMode="External"/><Relationship Id="rId28" Type="http://schemas.openxmlformats.org/officeDocument/2006/relationships/hyperlink" Target="https://cultureactioneurope.org/wp-content/uploads/2024/06/Horizon-FP10-position-paper-1.pdf" TargetMode="External"/><Relationship Id="rId36" Type="http://schemas.openxmlformats.org/officeDocument/2006/relationships/hyperlink" Target="https://www.unica-network.eu/wp-content/uploads/2024/12/Joint-position-paper_SSHinFP10_29112024.pdf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oadmap2021.esfri.eu/projects-and-landmarks/browse-the-catalogue/?domain=Social+%26+Cultural+Innovation" TargetMode="External"/><Relationship Id="rId31" Type="http://schemas.openxmlformats.org/officeDocument/2006/relationships/hyperlink" Target="https://earma.org/media/documents/earma-position-paper-10-recommendations-for-fp10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ec.europa.eu/info/funding-tenders/opportunities/portal/screen/opportunities/horizon-dashboard" TargetMode="External"/><Relationship Id="rId22" Type="http://schemas.openxmlformats.org/officeDocument/2006/relationships/footer" Target="footer2.xml"/><Relationship Id="rId27" Type="http://schemas.openxmlformats.org/officeDocument/2006/relationships/hyperlink" Target="https://eassh.eu/Position-Papers/2025/EASSH-Sept-2025-Society-in-FP10-proposal-is-for-research-on-society.pdf" TargetMode="External"/><Relationship Id="rId30" Type="http://schemas.openxmlformats.org/officeDocument/2006/relationships/hyperlink" Target="https://ec.europa.eu/info/funding-tenders/opportunities/portal/screen/opportunities/horizon-dashboard" TargetMode="External"/><Relationship Id="rId35" Type="http://schemas.openxmlformats.org/officeDocument/2006/relationships/hyperlink" Target="https://eur-lex.europa.eu/legal-content/EN/TXT/?uri=CELEX%3A52025PC0543&amp;qid=1753802854776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microsoft.com/office/2014/relationships/chartEx" Target="charts/chartEx1.xml"/><Relationship Id="rId17" Type="http://schemas.openxmlformats.org/officeDocument/2006/relationships/hyperlink" Target="https://ec.europa.eu/info/funding-tenders/opportunities/portal/screen/opportunities/horizon-dashboard" TargetMode="External"/><Relationship Id="rId25" Type="http://schemas.openxmlformats.org/officeDocument/2006/relationships/hyperlink" Target="https://earma.org/media/documents/earma-position-paper-10-recommendations-for-fp10.pdf" TargetMode="External"/><Relationship Id="rId33" Type="http://schemas.openxmlformats.org/officeDocument/2006/relationships/hyperlink" Target="https://www.leru.org/files/Joint-position-paper_SSH-in-FP10.pdf" TargetMode="External"/><Relationship Id="rId38" Type="http://schemas.openxmlformats.org/officeDocument/2006/relationships/hyperlink" Target="https://www.horizontevropa.cz/cs/struktura-programu-he/excelentni-veda/akce-marie-sklodowska-curie/informace?storiesType=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alucha\Desktop\SHV\ALL_Top%20participating%20countries_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palucha\Downloads\2cc0ba0e-cfe6-43c0-abee-2427788230f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ALL!$E$1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rgbClr val="5B9BD5">
                <a:lumMod val="50000"/>
              </a:srgbClr>
            </a:solidFill>
            <a:ln>
              <a:noFill/>
            </a:ln>
            <a:effectLst/>
          </c:spPr>
          <c:invertIfNegative val="0"/>
          <c:dLbls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740-418F-AF99-0A0F89CF04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ALL!$A$2:$A$28</c:f>
              <c:strCache>
                <c:ptCount val="27"/>
                <c:pt idx="0">
                  <c:v>Německo</c:v>
                </c:pt>
                <c:pt idx="1">
                  <c:v>Španělsko</c:v>
                </c:pt>
                <c:pt idx="2">
                  <c:v>Itálie</c:v>
                </c:pt>
                <c:pt idx="3">
                  <c:v>Francie</c:v>
                </c:pt>
                <c:pt idx="4">
                  <c:v>Nizozemsko</c:v>
                </c:pt>
                <c:pt idx="5">
                  <c:v>Belgie</c:v>
                </c:pt>
                <c:pt idx="6">
                  <c:v>Řecko</c:v>
                </c:pt>
                <c:pt idx="7">
                  <c:v>Rakousko</c:v>
                </c:pt>
                <c:pt idx="8">
                  <c:v>Portugalsko</c:v>
                </c:pt>
                <c:pt idx="9">
                  <c:v>Švédsko</c:v>
                </c:pt>
                <c:pt idx="10">
                  <c:v>Dánsko</c:v>
                </c:pt>
                <c:pt idx="11">
                  <c:v>Finsko</c:v>
                </c:pt>
                <c:pt idx="12">
                  <c:v>Irsko</c:v>
                </c:pt>
                <c:pt idx="13">
                  <c:v>Polsko</c:v>
                </c:pt>
                <c:pt idx="14">
                  <c:v>Česko</c:v>
                </c:pt>
                <c:pt idx="15">
                  <c:v>Rumunsko</c:v>
                </c:pt>
                <c:pt idx="16">
                  <c:v>Slovinsko</c:v>
                </c:pt>
                <c:pt idx="17">
                  <c:v>Kypr</c:v>
                </c:pt>
                <c:pt idx="18">
                  <c:v>Maďarsko</c:v>
                </c:pt>
                <c:pt idx="19">
                  <c:v>Estonsko</c:v>
                </c:pt>
                <c:pt idx="20">
                  <c:v>Bulharsko</c:v>
                </c:pt>
                <c:pt idx="21">
                  <c:v>Chorvatsko</c:v>
                </c:pt>
                <c:pt idx="22">
                  <c:v>Litva</c:v>
                </c:pt>
                <c:pt idx="23">
                  <c:v>Lucembursko</c:v>
                </c:pt>
                <c:pt idx="24">
                  <c:v>Slovensko</c:v>
                </c:pt>
                <c:pt idx="25">
                  <c:v>Lotyšsko</c:v>
                </c:pt>
                <c:pt idx="26">
                  <c:v>Malta</c:v>
                </c:pt>
              </c:strCache>
            </c:strRef>
          </c:cat>
          <c:val>
            <c:numRef>
              <c:f>ALL!$E$2:$E$28</c:f>
              <c:numCache>
                <c:formatCode>#,##0</c:formatCode>
                <c:ptCount val="27"/>
                <c:pt idx="0">
                  <c:v>13375</c:v>
                </c:pt>
                <c:pt idx="1">
                  <c:v>13209</c:v>
                </c:pt>
                <c:pt idx="2">
                  <c:v>11239</c:v>
                </c:pt>
                <c:pt idx="3">
                  <c:v>10830</c:v>
                </c:pt>
                <c:pt idx="4">
                  <c:v>7425</c:v>
                </c:pt>
                <c:pt idx="5">
                  <c:v>6328</c:v>
                </c:pt>
                <c:pt idx="6">
                  <c:v>5213</c:v>
                </c:pt>
                <c:pt idx="7">
                  <c:v>3424</c:v>
                </c:pt>
                <c:pt idx="8">
                  <c:v>3392</c:v>
                </c:pt>
                <c:pt idx="9">
                  <c:v>3377</c:v>
                </c:pt>
                <c:pt idx="10">
                  <c:v>3033</c:v>
                </c:pt>
                <c:pt idx="11">
                  <c:v>2827</c:v>
                </c:pt>
                <c:pt idx="12">
                  <c:v>2211</c:v>
                </c:pt>
                <c:pt idx="13">
                  <c:v>2086</c:v>
                </c:pt>
                <c:pt idx="14">
                  <c:v>1613</c:v>
                </c:pt>
                <c:pt idx="15">
                  <c:v>1255</c:v>
                </c:pt>
                <c:pt idx="16">
                  <c:v>1235</c:v>
                </c:pt>
                <c:pt idx="17">
                  <c:v>1047</c:v>
                </c:pt>
                <c:pt idx="18">
                  <c:v>906</c:v>
                </c:pt>
                <c:pt idx="19">
                  <c:v>792</c:v>
                </c:pt>
                <c:pt idx="20">
                  <c:v>703</c:v>
                </c:pt>
                <c:pt idx="21">
                  <c:v>667</c:v>
                </c:pt>
                <c:pt idx="22">
                  <c:v>634</c:v>
                </c:pt>
                <c:pt idx="23">
                  <c:v>554</c:v>
                </c:pt>
                <c:pt idx="24">
                  <c:v>500</c:v>
                </c:pt>
                <c:pt idx="25">
                  <c:v>415</c:v>
                </c:pt>
                <c:pt idx="26">
                  <c:v>248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40-418F-AF99-0A0F89CF04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0"/>
        <c:axId val="1918317167"/>
        <c:axId val="1918317647"/>
      </c:barChart>
      <c:lineChart>
        <c:grouping val="standard"/>
        <c:varyColors val="0"/>
        <c:ser>
          <c:idx val="1"/>
          <c:order val="1"/>
          <c:tx>
            <c:strRef>
              <c:f>ALL!$P$1</c:f>
              <c:strCache>
                <c:ptCount val="1"/>
                <c:pt idx="0">
                  <c:v>SHV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none"/>
          </c:marker>
          <c:dLbls>
            <c:dLbl>
              <c:idx val="14"/>
              <c:layout>
                <c:manualLayout>
                  <c:x val="3.0156165858912225E-2"/>
                  <c:y val="-8.5585585585585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740-418F-AF99-0A0F89CF04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ALL!$A$2:$A$28</c:f>
              <c:strCache>
                <c:ptCount val="27"/>
                <c:pt idx="0">
                  <c:v>Německo</c:v>
                </c:pt>
                <c:pt idx="1">
                  <c:v>Španělsko</c:v>
                </c:pt>
                <c:pt idx="2">
                  <c:v>Itálie</c:v>
                </c:pt>
                <c:pt idx="3">
                  <c:v>Francie</c:v>
                </c:pt>
                <c:pt idx="4">
                  <c:v>Nizozemsko</c:v>
                </c:pt>
                <c:pt idx="5">
                  <c:v>Belgie</c:v>
                </c:pt>
                <c:pt idx="6">
                  <c:v>Řecko</c:v>
                </c:pt>
                <c:pt idx="7">
                  <c:v>Rakousko</c:v>
                </c:pt>
                <c:pt idx="8">
                  <c:v>Portugalsko</c:v>
                </c:pt>
                <c:pt idx="9">
                  <c:v>Švédsko</c:v>
                </c:pt>
                <c:pt idx="10">
                  <c:v>Dánsko</c:v>
                </c:pt>
                <c:pt idx="11">
                  <c:v>Finsko</c:v>
                </c:pt>
                <c:pt idx="12">
                  <c:v>Irsko</c:v>
                </c:pt>
                <c:pt idx="13">
                  <c:v>Polsko</c:v>
                </c:pt>
                <c:pt idx="14">
                  <c:v>Česko</c:v>
                </c:pt>
                <c:pt idx="15">
                  <c:v>Rumunsko</c:v>
                </c:pt>
                <c:pt idx="16">
                  <c:v>Slovinsko</c:v>
                </c:pt>
                <c:pt idx="17">
                  <c:v>Kypr</c:v>
                </c:pt>
                <c:pt idx="18">
                  <c:v>Maďarsko</c:v>
                </c:pt>
                <c:pt idx="19">
                  <c:v>Estonsko</c:v>
                </c:pt>
                <c:pt idx="20">
                  <c:v>Bulharsko</c:v>
                </c:pt>
                <c:pt idx="21">
                  <c:v>Chorvatsko</c:v>
                </c:pt>
                <c:pt idx="22">
                  <c:v>Litva</c:v>
                </c:pt>
                <c:pt idx="23">
                  <c:v>Lucembursko</c:v>
                </c:pt>
                <c:pt idx="24">
                  <c:v>Slovensko</c:v>
                </c:pt>
                <c:pt idx="25">
                  <c:v>Lotyšsko</c:v>
                </c:pt>
                <c:pt idx="26">
                  <c:v>Malta</c:v>
                </c:pt>
              </c:strCache>
            </c:strRef>
          </c:cat>
          <c:val>
            <c:numRef>
              <c:f>ALL!$P$2:$P$28</c:f>
              <c:numCache>
                <c:formatCode>#,##0</c:formatCode>
                <c:ptCount val="27"/>
                <c:pt idx="0">
                  <c:v>3857</c:v>
                </c:pt>
                <c:pt idx="1">
                  <c:v>4208</c:v>
                </c:pt>
                <c:pt idx="2">
                  <c:v>3693</c:v>
                </c:pt>
                <c:pt idx="3">
                  <c:v>3240</c:v>
                </c:pt>
                <c:pt idx="4">
                  <c:v>2460</c:v>
                </c:pt>
                <c:pt idx="5">
                  <c:v>2271</c:v>
                </c:pt>
                <c:pt idx="6">
                  <c:v>1839</c:v>
                </c:pt>
                <c:pt idx="7">
                  <c:v>1144</c:v>
                </c:pt>
                <c:pt idx="8">
                  <c:v>1169</c:v>
                </c:pt>
                <c:pt idx="9">
                  <c:v>1000</c:v>
                </c:pt>
                <c:pt idx="10">
                  <c:v>948</c:v>
                </c:pt>
                <c:pt idx="11">
                  <c:v>936</c:v>
                </c:pt>
                <c:pt idx="12">
                  <c:v>789</c:v>
                </c:pt>
                <c:pt idx="13">
                  <c:v>660</c:v>
                </c:pt>
                <c:pt idx="14">
                  <c:v>455</c:v>
                </c:pt>
                <c:pt idx="15">
                  <c:v>451</c:v>
                </c:pt>
                <c:pt idx="16">
                  <c:v>454</c:v>
                </c:pt>
                <c:pt idx="17">
                  <c:v>339</c:v>
                </c:pt>
                <c:pt idx="18">
                  <c:v>324</c:v>
                </c:pt>
                <c:pt idx="19">
                  <c:v>286</c:v>
                </c:pt>
                <c:pt idx="20">
                  <c:v>258</c:v>
                </c:pt>
                <c:pt idx="21">
                  <c:v>235</c:v>
                </c:pt>
                <c:pt idx="22">
                  <c:v>204</c:v>
                </c:pt>
                <c:pt idx="23">
                  <c:v>201</c:v>
                </c:pt>
                <c:pt idx="24">
                  <c:v>187</c:v>
                </c:pt>
                <c:pt idx="25">
                  <c:v>142</c:v>
                </c:pt>
                <c:pt idx="26">
                  <c:v>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740-418F-AF99-0A0F89CF04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18317167"/>
        <c:axId val="1918317647"/>
      </c:lineChart>
      <c:catAx>
        <c:axId val="19183171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918317647"/>
        <c:crosses val="autoZero"/>
        <c:auto val="1"/>
        <c:lblAlgn val="ctr"/>
        <c:lblOffset val="100"/>
        <c:noMultiLvlLbl val="0"/>
      </c:catAx>
      <c:valAx>
        <c:axId val="1918317647"/>
        <c:scaling>
          <c:orientation val="minMax"/>
          <c:max val="14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Počet financovaných účastí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9183171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ALL!$G$1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14"/>
              <c:layout>
                <c:manualLayout>
                  <c:x val="2.2045855379187905E-3"/>
                  <c:y val="-1.253918495297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577-481B-866A-5F7F3D3A0F1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ALL!$A$2:$A$28</c:f>
              <c:strCache>
                <c:ptCount val="27"/>
                <c:pt idx="0">
                  <c:v>Německo</c:v>
                </c:pt>
                <c:pt idx="1">
                  <c:v>Francie</c:v>
                </c:pt>
                <c:pt idx="2">
                  <c:v>Španělsko</c:v>
                </c:pt>
                <c:pt idx="3">
                  <c:v>Nizozemsko</c:v>
                </c:pt>
                <c:pt idx="4">
                  <c:v>Itálie</c:v>
                </c:pt>
                <c:pt idx="5">
                  <c:v>Belgie</c:v>
                </c:pt>
                <c:pt idx="6">
                  <c:v>Řecko</c:v>
                </c:pt>
                <c:pt idx="7">
                  <c:v>Švédsko</c:v>
                </c:pt>
                <c:pt idx="8">
                  <c:v>Rakousko</c:v>
                </c:pt>
                <c:pt idx="9">
                  <c:v>Dánsko</c:v>
                </c:pt>
                <c:pt idx="10">
                  <c:v>Finsko</c:v>
                </c:pt>
                <c:pt idx="11">
                  <c:v>Portugalsko</c:v>
                </c:pt>
                <c:pt idx="12">
                  <c:v>Irsko</c:v>
                </c:pt>
                <c:pt idx="13">
                  <c:v>Polsko</c:v>
                </c:pt>
                <c:pt idx="14">
                  <c:v>Česko</c:v>
                </c:pt>
                <c:pt idx="15">
                  <c:v>Slovinsko</c:v>
                </c:pt>
                <c:pt idx="16">
                  <c:v>Kypr</c:v>
                </c:pt>
                <c:pt idx="17">
                  <c:v>Rumunsko</c:v>
                </c:pt>
                <c:pt idx="18">
                  <c:v>Estonsko</c:v>
                </c:pt>
                <c:pt idx="19">
                  <c:v>Lucembursko</c:v>
                </c:pt>
                <c:pt idx="20">
                  <c:v>Maďarsko</c:v>
                </c:pt>
                <c:pt idx="21">
                  <c:v>Litva</c:v>
                </c:pt>
                <c:pt idx="22">
                  <c:v>Bulharsko</c:v>
                </c:pt>
                <c:pt idx="23">
                  <c:v>Chorvatsko</c:v>
                </c:pt>
                <c:pt idx="24">
                  <c:v>Slovensko</c:v>
                </c:pt>
                <c:pt idx="25">
                  <c:v>Lotyšsko</c:v>
                </c:pt>
                <c:pt idx="26">
                  <c:v>Malta</c:v>
                </c:pt>
              </c:strCache>
            </c:strRef>
          </c:cat>
          <c:val>
            <c:numRef>
              <c:f>ALL!$O$2:$O$28</c:f>
              <c:numCache>
                <c:formatCode>\€\ #,##0;\€\ \-#,##0</c:formatCode>
                <c:ptCount val="27"/>
                <c:pt idx="0">
                  <c:v>7756.3142039700006</c:v>
                </c:pt>
                <c:pt idx="1">
                  <c:v>5536.0402342300176</c:v>
                </c:pt>
                <c:pt idx="2">
                  <c:v>5176.1535719300336</c:v>
                </c:pt>
                <c:pt idx="3">
                  <c:v>4247.8312436400138</c:v>
                </c:pt>
                <c:pt idx="4">
                  <c:v>4180.0371616299835</c:v>
                </c:pt>
                <c:pt idx="5">
                  <c:v>3652.5277011900062</c:v>
                </c:pt>
                <c:pt idx="6">
                  <c:v>1903.5326607399998</c:v>
                </c:pt>
                <c:pt idx="7">
                  <c:v>1703.1520492199988</c:v>
                </c:pt>
                <c:pt idx="8">
                  <c:v>1603.9712264200016</c:v>
                </c:pt>
                <c:pt idx="9">
                  <c:v>1449.7627206399936</c:v>
                </c:pt>
                <c:pt idx="10">
                  <c:v>1405.9301056699992</c:v>
                </c:pt>
                <c:pt idx="11">
                  <c:v>1161.9289269099988</c:v>
                </c:pt>
                <c:pt idx="12">
                  <c:v>1029.4597825699989</c:v>
                </c:pt>
                <c:pt idx="13">
                  <c:v>777.48027721999983</c:v>
                </c:pt>
                <c:pt idx="14">
                  <c:v>570.35636327000043</c:v>
                </c:pt>
                <c:pt idx="15">
                  <c:v>391.14164030000006</c:v>
                </c:pt>
                <c:pt idx="16">
                  <c:v>346.82131148999991</c:v>
                </c:pt>
                <c:pt idx="17">
                  <c:v>323.88327394999993</c:v>
                </c:pt>
                <c:pt idx="18">
                  <c:v>291.97162622999997</c:v>
                </c:pt>
                <c:pt idx="19">
                  <c:v>234.75053785</c:v>
                </c:pt>
                <c:pt idx="20">
                  <c:v>218.30379460999998</c:v>
                </c:pt>
                <c:pt idx="21">
                  <c:v>184.98319336000006</c:v>
                </c:pt>
                <c:pt idx="22">
                  <c:v>175.17644369999999</c:v>
                </c:pt>
                <c:pt idx="23">
                  <c:v>164.54676813999998</c:v>
                </c:pt>
                <c:pt idx="24">
                  <c:v>137.86390383000003</c:v>
                </c:pt>
                <c:pt idx="25">
                  <c:v>113.09492091000003</c:v>
                </c:pt>
                <c:pt idx="26">
                  <c:v>56.909945549999968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77-481B-866A-5F7F3D3A0F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0"/>
        <c:axId val="2036464559"/>
        <c:axId val="2036467439"/>
      </c:barChart>
      <c:lineChart>
        <c:grouping val="standard"/>
        <c:varyColors val="0"/>
        <c:ser>
          <c:idx val="1"/>
          <c:order val="1"/>
          <c:tx>
            <c:strRef>
              <c:f>ALL!$Q$1</c:f>
              <c:strCache>
                <c:ptCount val="1"/>
                <c:pt idx="0">
                  <c:v>SHV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Lbl>
              <c:idx val="14"/>
              <c:layout>
                <c:manualLayout>
                  <c:x val="4.1887125220458551E-2"/>
                  <c:y val="-8.7774294670846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577-481B-866A-5F7F3D3A0F1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ALL!$A$2:$A$28</c:f>
              <c:strCache>
                <c:ptCount val="27"/>
                <c:pt idx="0">
                  <c:v>Německo</c:v>
                </c:pt>
                <c:pt idx="1">
                  <c:v>Francie</c:v>
                </c:pt>
                <c:pt idx="2">
                  <c:v>Španělsko</c:v>
                </c:pt>
                <c:pt idx="3">
                  <c:v>Nizozemsko</c:v>
                </c:pt>
                <c:pt idx="4">
                  <c:v>Itálie</c:v>
                </c:pt>
                <c:pt idx="5">
                  <c:v>Belgie</c:v>
                </c:pt>
                <c:pt idx="6">
                  <c:v>Řecko</c:v>
                </c:pt>
                <c:pt idx="7">
                  <c:v>Švédsko</c:v>
                </c:pt>
                <c:pt idx="8">
                  <c:v>Rakousko</c:v>
                </c:pt>
                <c:pt idx="9">
                  <c:v>Dánsko</c:v>
                </c:pt>
                <c:pt idx="10">
                  <c:v>Finsko</c:v>
                </c:pt>
                <c:pt idx="11">
                  <c:v>Portugalsko</c:v>
                </c:pt>
                <c:pt idx="12">
                  <c:v>Irsko</c:v>
                </c:pt>
                <c:pt idx="13">
                  <c:v>Polsko</c:v>
                </c:pt>
                <c:pt idx="14">
                  <c:v>Česko</c:v>
                </c:pt>
                <c:pt idx="15">
                  <c:v>Slovinsko</c:v>
                </c:pt>
                <c:pt idx="16">
                  <c:v>Kypr</c:v>
                </c:pt>
                <c:pt idx="17">
                  <c:v>Rumunsko</c:v>
                </c:pt>
                <c:pt idx="18">
                  <c:v>Estonsko</c:v>
                </c:pt>
                <c:pt idx="19">
                  <c:v>Lucembursko</c:v>
                </c:pt>
                <c:pt idx="20">
                  <c:v>Maďarsko</c:v>
                </c:pt>
                <c:pt idx="21">
                  <c:v>Litva</c:v>
                </c:pt>
                <c:pt idx="22">
                  <c:v>Bulharsko</c:v>
                </c:pt>
                <c:pt idx="23">
                  <c:v>Chorvatsko</c:v>
                </c:pt>
                <c:pt idx="24">
                  <c:v>Slovensko</c:v>
                </c:pt>
                <c:pt idx="25">
                  <c:v>Lotyšsko</c:v>
                </c:pt>
                <c:pt idx="26">
                  <c:v>Malta</c:v>
                </c:pt>
              </c:strCache>
            </c:strRef>
          </c:cat>
          <c:val>
            <c:numRef>
              <c:f>ALL!$R$2:$R$28</c:f>
              <c:numCache>
                <c:formatCode>\€\ #,##0;\€\ \-#,##0</c:formatCode>
                <c:ptCount val="27"/>
                <c:pt idx="0">
                  <c:v>2161.1850981600023</c:v>
                </c:pt>
                <c:pt idx="1">
                  <c:v>1449.0340647800001</c:v>
                </c:pt>
                <c:pt idx="2">
                  <c:v>1520.3742594699991</c:v>
                </c:pt>
                <c:pt idx="3">
                  <c:v>1292.7933666799997</c:v>
                </c:pt>
                <c:pt idx="4">
                  <c:v>1294.6871832900022</c:v>
                </c:pt>
                <c:pt idx="5">
                  <c:v>893.69683927999984</c:v>
                </c:pt>
                <c:pt idx="6">
                  <c:v>677.43036445000007</c:v>
                </c:pt>
                <c:pt idx="7">
                  <c:v>440.88287698999989</c:v>
                </c:pt>
                <c:pt idx="8">
                  <c:v>477.81696608000004</c:v>
                </c:pt>
                <c:pt idx="9">
                  <c:v>411.18882384000034</c:v>
                </c:pt>
                <c:pt idx="10">
                  <c:v>419.48680016000009</c:v>
                </c:pt>
                <c:pt idx="11">
                  <c:v>383.25935094999994</c:v>
                </c:pt>
                <c:pt idx="12">
                  <c:v>328.47379551000006</c:v>
                </c:pt>
                <c:pt idx="13">
                  <c:v>191.19766484999997</c:v>
                </c:pt>
                <c:pt idx="14">
                  <c:v>152.73274670999999</c:v>
                </c:pt>
                <c:pt idx="15">
                  <c:v>128.68399116000003</c:v>
                </c:pt>
                <c:pt idx="16">
                  <c:v>122.29503998999998</c:v>
                </c:pt>
                <c:pt idx="17">
                  <c:v>116.31389207000002</c:v>
                </c:pt>
                <c:pt idx="18">
                  <c:v>103.82111434000001</c:v>
                </c:pt>
                <c:pt idx="19">
                  <c:v>85.02922903999999</c:v>
                </c:pt>
                <c:pt idx="20">
                  <c:v>70.004936889999996</c:v>
                </c:pt>
                <c:pt idx="21">
                  <c:v>67.652509549999991</c:v>
                </c:pt>
                <c:pt idx="22">
                  <c:v>56.53976119</c:v>
                </c:pt>
                <c:pt idx="23">
                  <c:v>55.236731769999999</c:v>
                </c:pt>
                <c:pt idx="24">
                  <c:v>54.131813119999997</c:v>
                </c:pt>
                <c:pt idx="25">
                  <c:v>34.10735416</c:v>
                </c:pt>
                <c:pt idx="26">
                  <c:v>17.465681329999999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577-481B-866A-5F7F3D3A0F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36464559"/>
        <c:axId val="2036467439"/>
      </c:lineChart>
      <c:catAx>
        <c:axId val="2036464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036467439"/>
        <c:crosses val="autoZero"/>
        <c:auto val="1"/>
        <c:lblAlgn val="ctr"/>
        <c:lblOffset val="100"/>
        <c:noMultiLvlLbl val="0"/>
      </c:catAx>
      <c:valAx>
        <c:axId val="2036467439"/>
        <c:scaling>
          <c:orientation val="minMax"/>
          <c:max val="8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mil.</a:t>
                </a:r>
                <a:r>
                  <a:rPr lang="cs-CZ" baseline="0"/>
                  <a:t> €</a:t>
                </a:r>
                <a:endParaRPr lang="cs-CZ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\€\ #,##0;\€\ \-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03646455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Sheet1!$A$2:$A$7</cx:f>
        <cx:lvl ptCount="6">
          <cx:pt idx="0">Natural Sciences</cx:pt>
          <cx:pt idx="1">Engineering and Technology</cx:pt>
          <cx:pt idx="2">Social Sciences</cx:pt>
          <cx:pt idx="3">Medical and Health Sciences</cx:pt>
          <cx:pt idx="4">Humanities</cx:pt>
          <cx:pt idx="5">Agricultural Sciences</cx:pt>
        </cx:lvl>
      </cx:strDim>
      <cx:numDim type="size">
        <cx:f>Sheet1!$C$2:$C$7</cx:f>
        <cx:lvl ptCount="6" formatCode="0%">
          <cx:pt idx="0">0.39138943248532287</cx:pt>
          <cx:pt idx="1">0.20278321374211786</cx:pt>
          <cx:pt idx="2">0.16886279626005654</cx:pt>
          <cx:pt idx="3">0.14668406175255491</cx:pt>
          <cx:pt idx="4">0.049489019352033051</cx:pt>
          <cx:pt idx="5">0.040791476407914765</cx:pt>
        </cx:lvl>
      </cx:numDim>
    </cx:data>
  </cx:chartData>
  <cx:chart>
    <cx:plotArea>
      <cx:plotAreaRegion>
        <cx:series layoutId="treemap" uniqueId="{D46D03CE-C880-4E0A-96D3-AD7B1D2CD25B}">
          <cx:dataPt idx="2">
            <cx:spPr>
              <a:solidFill>
                <a:srgbClr val="ED7D31">
                  <a:lumMod val="60000"/>
                  <a:lumOff val="40000"/>
                </a:srgbClr>
              </a:solidFill>
            </cx:spPr>
          </cx:dataPt>
          <cx:dataPt idx="4">
            <cx:spPr>
              <a:solidFill>
                <a:srgbClr val="ED7D31">
                  <a:lumMod val="40000"/>
                  <a:lumOff val="60000"/>
                </a:srgbClr>
              </a:solidFill>
            </cx:spPr>
          </cx:dataPt>
          <cx:dataLabels>
            <cx:numFmt formatCode="0%" sourceLinked="0"/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>
                    <a:solidFill>
                      <a:schemeClr val="bg1"/>
                    </a:solidFill>
                  </a:defRPr>
                </a:pPr>
                <a:endParaRPr lang="cs-CZ" sz="900" b="0" i="0" u="none" strike="noStrike" kern="1200" baseline="0">
                  <a:solidFill>
                    <a:schemeClr val="bg1"/>
                  </a:solidFill>
                  <a:latin typeface="Calibri"/>
                </a:endParaRPr>
              </a:p>
            </cx:txPr>
            <cx:visibility seriesName="0" categoryName="1" value="1"/>
            <cx:separator>, </cx:separator>
            <cx:dataLabel idx="2">
              <cx:numFmt formatCode="0%" sourceLinked="0"/>
              <cx:txPr>
                <a:bodyPr spcFirstLastPara="1" vertOverflow="ellipsis" horzOverflow="overflow" wrap="square" lIns="0" tIns="0" rIns="0" bIns="0" anchor="ctr" anchorCtr="1"/>
                <a:lstStyle/>
                <a:p>
                  <a:pPr algn="ctr" rtl="0">
                    <a:defRPr>
                      <a:solidFill>
                        <a:sysClr val="windowText" lastClr="000000"/>
                      </a:solidFill>
                    </a:defRPr>
                  </a:pPr>
                  <a:r>
                    <a:rPr lang="cs-CZ" sz="900" b="0" i="0" u="none" strike="noStrike" kern="1200" baseline="0">
                      <a:solidFill>
                        <a:sysClr val="windowText" lastClr="000000"/>
                      </a:solidFill>
                      <a:latin typeface="Calibri"/>
                    </a:rPr>
                    <a:t>Social Sciences, 17%</a:t>
                  </a:r>
                </a:p>
              </cx:txPr>
              <cx:visibility seriesName="0" categoryName="1" value="1"/>
              <cx:separator>, </cx:separator>
            </cx:dataLabel>
            <cx:dataLabel idx="3">
              <cx:numFmt formatCode="0%" sourceLinked="0"/>
              <cx:txPr>
                <a:bodyPr spcFirstLastPara="1" vertOverflow="ellipsis" horzOverflow="overflow" wrap="square" lIns="0" tIns="0" rIns="0" bIns="0" anchor="ctr" anchorCtr="1"/>
                <a:lstStyle/>
                <a:p>
                  <a:pPr algn="ctr" rtl="0">
                    <a:defRPr>
                      <a:solidFill>
                        <a:schemeClr val="bg1"/>
                      </a:solidFill>
                    </a:defRPr>
                  </a:pPr>
                  <a:r>
                    <a:rPr lang="cs-CZ" sz="900" b="0" i="0" u="none" strike="noStrike" kern="1200" baseline="0">
                      <a:solidFill>
                        <a:schemeClr val="bg1"/>
                      </a:solidFill>
                      <a:latin typeface="Calibri"/>
                    </a:rPr>
                    <a:t>Medical and Health Sciences, 15%</a:t>
                  </a:r>
                </a:p>
              </cx:txPr>
              <cx:visibility seriesName="0" categoryName="1" value="1"/>
              <cx:separator>, </cx:separator>
            </cx:dataLabel>
            <cx:dataLabel idx="4">
              <cx:numFmt formatCode="0%" sourceLinked="0"/>
              <cx:txPr>
                <a:bodyPr spcFirstLastPara="1" vertOverflow="ellipsis" horzOverflow="overflow" wrap="square" lIns="0" tIns="0" rIns="0" bIns="0" anchor="ctr" anchorCtr="1"/>
                <a:lstStyle/>
                <a:p>
                  <a:pPr algn="ctr" rtl="0">
                    <a:defRPr>
                      <a:solidFill>
                        <a:sysClr val="windowText" lastClr="000000"/>
                      </a:solidFill>
                    </a:defRPr>
                  </a:pPr>
                  <a:r>
                    <a:rPr lang="cs-CZ" sz="900" b="0" i="0" u="none" strike="noStrike" kern="1200" baseline="0">
                      <a:solidFill>
                        <a:sysClr val="windowText" lastClr="000000"/>
                      </a:solidFill>
                      <a:latin typeface="Calibri"/>
                    </a:rPr>
                    <a:t>Humanities, 5%</a:t>
                  </a:r>
                </a:p>
              </cx:txPr>
              <cx:visibility seriesName="0" categoryName="1" value="1"/>
              <cx:separator>, </cx:separator>
            </cx:dataLabel>
            <cx:dataLabel idx="5">
              <cx:numFmt formatCode="0%" sourceLinked="0"/>
              <cx:txPr>
                <a:bodyPr spcFirstLastPara="1" vertOverflow="ellipsis" horzOverflow="overflow" wrap="square" lIns="0" tIns="0" rIns="0" bIns="0" anchor="ctr" anchorCtr="1"/>
                <a:lstStyle/>
                <a:p>
                  <a:pPr algn="ctr" rtl="0">
                    <a:defRPr sz="800">
                      <a:solidFill>
                        <a:sysClr val="windowText" lastClr="000000"/>
                      </a:solidFill>
                    </a:defRPr>
                  </a:pPr>
                  <a:r>
                    <a:rPr lang="cs-CZ" sz="800" b="0" i="0" u="none" strike="noStrike" kern="1200" baseline="0">
                      <a:solidFill>
                        <a:sysClr val="windowText" lastClr="000000"/>
                      </a:solidFill>
                      <a:latin typeface="Calibri"/>
                    </a:rPr>
                    <a:t>Agricultural Sciences, 4%</a:t>
                  </a:r>
                </a:p>
              </cx:txPr>
              <cx:visibility seriesName="0" categoryName="1" value="1"/>
              <cx:separator>, </cx:separator>
            </cx:dataLabel>
          </cx:dataLabels>
          <cx:dataId val="0"/>
          <cx:layoutPr/>
        </cx:series>
      </cx:plotAreaRegion>
    </cx:plotArea>
  </cx:chart>
  <cx:spPr>
    <a:ln>
      <a:noFill/>
    </a:ln>
  </cx:spPr>
</cx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441E2-3A58-4C4C-9187-04E1E5A1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11</Pages>
  <Words>3368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Aleš Palucha</cp:lastModifiedBy>
  <cp:revision>108</cp:revision>
  <cp:lastPrinted>2022-04-22T06:41:00Z</cp:lastPrinted>
  <dcterms:created xsi:type="dcterms:W3CDTF">2025-10-26T21:06:00Z</dcterms:created>
  <dcterms:modified xsi:type="dcterms:W3CDTF">2025-11-07T10:14:00Z</dcterms:modified>
</cp:coreProperties>
</file>